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DAA" w:rsidRPr="00EF4C22" w:rsidRDefault="00A02DAA" w:rsidP="00EF4C2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F4C22">
        <w:tab/>
      </w:r>
      <w:r w:rsidRPr="00EF4C22">
        <w:rPr>
          <w:b/>
        </w:rPr>
        <w:t>20:06:58:15.  Financial requirements and quantitative treatment limitations -- Determining predominant.</w:t>
      </w:r>
      <w:r w:rsidRPr="00EF4C22">
        <w:t xml:space="preserve"> If a type of financial requirement or quantitative treatment limitation applies to at least two-thirds of all medical or surgical benefits in a classification as determined under § 20:06:58:17, the level of the financial requirement or quantitative treatment limitation that is considered the predominant level of that type in a classification of benefits is the level that applies to more than one-half of medical or surgical benefits in that classification subject to the financial requirement or quantitative treatment limitation.</w:t>
      </w:r>
    </w:p>
    <w:p w:rsidR="00A02DAA" w:rsidRPr="00EF4C22" w:rsidRDefault="00A02DAA" w:rsidP="00EF4C2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02DAA" w:rsidRPr="00EF4C22" w:rsidRDefault="00A02DAA" w:rsidP="00EF4C2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F4C22">
        <w:tab/>
        <w:t>If, with respect to a type of financial requirement or quantitative treatment limitation that applies to at least two-thirds of all medical or surgical benefits in a classification, there is no single level that applies to more than one-half of medical or surgical benefits in the classification subject to the financial requirement or quantitative treatment limitation, the plan, or health insurance issuer, may combine levels until the combination of levels applies to more than one-half of medical or surgical benefits subject to the financial requirement or quantitative treatment limitation in the classification. The least restrictive level within the combination is considered the predominate level of that type in the classification. A plan may combine the most restrictive levels first, with each less restrictive level added to the combination until the combination applies to more than one-half of the benefits subject to the financial requirement or treatment limitation.</w:t>
      </w:r>
    </w:p>
    <w:p w:rsidR="00A02DAA" w:rsidRPr="00EF4C22" w:rsidRDefault="00A02DAA" w:rsidP="00EF4C2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A02DAA" w:rsidRPr="00EF4C22" w:rsidRDefault="00A02DAA" w:rsidP="00EF4C2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F4C22">
        <w:tab/>
      </w:r>
      <w:r w:rsidRPr="00EF4C22">
        <w:rPr>
          <w:b/>
        </w:rPr>
        <w:t>Source:</w:t>
      </w:r>
      <w:r w:rsidRPr="00EF4C22">
        <w:t xml:space="preserve"> 41 SDR 93, effective December 3, 2014.</w:t>
      </w:r>
    </w:p>
    <w:p w:rsidR="00A02DAA" w:rsidRPr="00EF4C22" w:rsidRDefault="00A02DAA" w:rsidP="00EF4C2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F4C22">
        <w:tab/>
      </w:r>
      <w:r w:rsidRPr="00EF4C22">
        <w:rPr>
          <w:b/>
        </w:rPr>
        <w:t>General Authority:</w:t>
      </w:r>
      <w:r w:rsidRPr="00EF4C22">
        <w:t xml:space="preserve"> SDCL 58-17-87, 58-18-79, 58-18-79(15).</w:t>
      </w:r>
    </w:p>
    <w:p w:rsidR="00A02DAA" w:rsidRPr="00EF4C22" w:rsidRDefault="00A02DAA" w:rsidP="00EF4C2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EF4C22">
        <w:tab/>
      </w:r>
      <w:r w:rsidRPr="00EF4C22">
        <w:rPr>
          <w:b/>
        </w:rPr>
        <w:t>Law Implemented:</w:t>
      </w:r>
      <w:r w:rsidRPr="00EF4C22">
        <w:t xml:space="preserve"> SDCL 58-17-87, 58-18-79, 58-18-80.</w:t>
      </w:r>
    </w:p>
    <w:p w:rsidR="00A02DAA" w:rsidRPr="00EF4C22" w:rsidRDefault="00A02DAA" w:rsidP="00EF4C2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A02DAA" w:rsidRPr="00EF4C2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F4C22"/>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2DAA"/>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4C22"/>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266</Words>
  <Characters>1521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2014-11-26T20:06:00Z</dcterms:created>
  <dcterms:modified xsi:type="dcterms:W3CDTF">2014-11-26T20:06:00Z</dcterms:modified>
</cp:coreProperties>
</file>