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A5834">
        <w:tab/>
      </w:r>
      <w:r w:rsidRPr="007A5834">
        <w:rPr>
          <w:b/>
        </w:rPr>
        <w:t>20:06:58:18.  Application to different coverage units.</w:t>
      </w:r>
      <w:r w:rsidRPr="007A5834">
        <w:t xml:space="preserve"> If a plan, or health insurance coverage, applies different levels of a financial requirement or quantitative treatment limitation to different coverage units in a classification of medical or surgical benefits, the predominant level that applies to substantially all medical or surgical benefits in the classification is determined separately for each coverage unit.</w:t>
      </w:r>
    </w:p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A5834">
        <w:tab/>
      </w:r>
      <w:r w:rsidRPr="007A5834">
        <w:rPr>
          <w:b/>
        </w:rPr>
        <w:t>Source:</w:t>
      </w:r>
      <w:r w:rsidRPr="007A5834">
        <w:t xml:space="preserve"> 41 SDR 93, effective December 3, 2014.</w:t>
      </w:r>
    </w:p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A5834">
        <w:tab/>
      </w:r>
      <w:r w:rsidRPr="007A5834">
        <w:rPr>
          <w:b/>
        </w:rPr>
        <w:t>General Authority:</w:t>
      </w:r>
      <w:r w:rsidRPr="007A5834">
        <w:t xml:space="preserve"> SDCL 58-17-87, 58-18-79, 58-18-79(15).</w:t>
      </w:r>
    </w:p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A5834">
        <w:tab/>
      </w:r>
      <w:r w:rsidRPr="007A5834">
        <w:rPr>
          <w:b/>
        </w:rPr>
        <w:t>Law Implemented:</w:t>
      </w:r>
      <w:r w:rsidRPr="007A5834">
        <w:t xml:space="preserve"> SDCL 58-17-87, 58-18-79, 58-18-80.</w:t>
      </w:r>
    </w:p>
    <w:p w:rsidR="00B25229" w:rsidRPr="007A5834" w:rsidRDefault="00B25229" w:rsidP="007A583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25229" w:rsidRPr="007A583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834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5834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29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498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2014-11-26T20:09:00Z</dcterms:created>
  <dcterms:modified xsi:type="dcterms:W3CDTF">2014-11-26T20:09:00Z</dcterms:modified>
</cp:coreProperties>
</file>