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47F" w:rsidRPr="00E14586" w:rsidRDefault="006C447F" w:rsidP="00E1458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14586">
        <w:tab/>
      </w:r>
      <w:r w:rsidRPr="00E14586">
        <w:rPr>
          <w:b/>
        </w:rPr>
        <w:t>20:06:58:21.  Special rule for sub-classifications permitted for office visits, separate from other outpatient services.</w:t>
      </w:r>
      <w:r w:rsidRPr="00E14586">
        <w:t xml:space="preserve"> For purposes of applying the financial requirement and treatment limitation rules of §§ 20:06:58:07 to 20:06:58:25, inclusive, a plan or issuer may divide its benefits furnished on an outpatient basis into the two sub-classifications described in this section. After the sub-classifications are established, the plan or issuer may not impose any financial requirement or quantitative treatment limitation on mental health or substance use disorder benefits in any sub-classification that is more restrictive than the predominant financial requirement or quantitative treatment limitation that applies to substantially all medical or surgical benefits in the sub-classification using the methodology set forth in paragraphs §§ 20:06:58:14 to 20:06:58:17, inclusive. Sub-classifications other than these special rules, such as separate sub-classifications for generalists and specialists, are not permitted. The two sub-classifications permitted under this section are:</w:t>
      </w:r>
    </w:p>
    <w:p w:rsidR="006C447F" w:rsidRPr="00E14586" w:rsidRDefault="006C447F" w:rsidP="00E1458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6C447F" w:rsidRPr="00E14586" w:rsidRDefault="006C447F" w:rsidP="00E1458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14586">
        <w:tab/>
        <w:t>(1)  Office visits, such as physician visits; and</w:t>
      </w:r>
    </w:p>
    <w:p w:rsidR="006C447F" w:rsidRPr="00E14586" w:rsidRDefault="006C447F" w:rsidP="00E1458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14586">
        <w:tab/>
        <w:t>(2)  All other outpatient items and services, such as outpatient surgery, facility charges for day treatment centers, laboratory charges, or other medical items.</w:t>
      </w:r>
    </w:p>
    <w:p w:rsidR="006C447F" w:rsidRPr="00E14586" w:rsidRDefault="006C447F" w:rsidP="00E1458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6C447F" w:rsidRPr="00E14586" w:rsidRDefault="006C447F" w:rsidP="00E1458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14586">
        <w:tab/>
      </w:r>
      <w:r w:rsidRPr="00E14586">
        <w:rPr>
          <w:b/>
        </w:rPr>
        <w:t>Source:</w:t>
      </w:r>
      <w:r w:rsidRPr="00E14586">
        <w:t xml:space="preserve"> 41 SDR 93, effective December 3, 2014.</w:t>
      </w:r>
    </w:p>
    <w:p w:rsidR="006C447F" w:rsidRPr="00E14586" w:rsidRDefault="006C447F" w:rsidP="00E1458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14586">
        <w:tab/>
      </w:r>
      <w:r w:rsidRPr="00E14586">
        <w:rPr>
          <w:b/>
        </w:rPr>
        <w:t>General Authority:</w:t>
      </w:r>
      <w:r w:rsidRPr="00E14586">
        <w:t xml:space="preserve"> SDCL 58-17-87, 58-18-79, 58-18-79(15).</w:t>
      </w:r>
    </w:p>
    <w:p w:rsidR="006C447F" w:rsidRPr="00E14586" w:rsidRDefault="006C447F" w:rsidP="00E1458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14586">
        <w:tab/>
      </w:r>
      <w:r w:rsidRPr="00E14586">
        <w:rPr>
          <w:b/>
        </w:rPr>
        <w:t>Law Implemented:</w:t>
      </w:r>
      <w:r w:rsidRPr="00E14586">
        <w:t xml:space="preserve"> SDCL 58-17-87, 58-18-79, 58-18-80.</w:t>
      </w:r>
    </w:p>
    <w:p w:rsidR="006C447F" w:rsidRPr="00E14586" w:rsidRDefault="006C447F" w:rsidP="00E1458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6C447F" w:rsidRPr="00E1458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4586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47F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586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218</Words>
  <Characters>1249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2014-11-26T20:12:00Z</dcterms:created>
  <dcterms:modified xsi:type="dcterms:W3CDTF">2014-11-26T20:12:00Z</dcterms:modified>
</cp:coreProperties>
</file>