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953E5">
        <w:tab/>
      </w:r>
      <w:r w:rsidRPr="008953E5">
        <w:rPr>
          <w:b/>
        </w:rPr>
        <w:t>20:06:58:31.  Coordination with EHB requirements.</w:t>
      </w:r>
      <w:r w:rsidRPr="008953E5">
        <w:t xml:space="preserve"> Nothing in §§ 20:06:58:32 to 20:06:58:43, inclusive, changes the requirements of 45 CFR 147.150 and 45 CFR 156.115 (December 3, 2014), providing that a health insurance issuer offering non-grandfathered health insurance coverage in the individual or small group market providing mental health and substance use disorder services, including behavioral health treatment services, as part of essential health benefits required under 45 CFR 156.110(a)(5) and 156.115(a) (December  3, 2014), must comply with the provisions of 45 CFR 146.136 (December 3, 2014) to satisfy the requirement to provide essential health benefits.</w:t>
      </w:r>
    </w:p>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953E5">
        <w:tab/>
      </w:r>
      <w:r w:rsidRPr="008953E5">
        <w:rPr>
          <w:b/>
        </w:rPr>
        <w:t>Source:</w:t>
      </w:r>
      <w:r w:rsidRPr="008953E5">
        <w:t xml:space="preserve"> 41 SDR 93, effective December 3, 2014.</w:t>
      </w:r>
    </w:p>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953E5">
        <w:tab/>
      </w:r>
      <w:r w:rsidRPr="008953E5">
        <w:rPr>
          <w:b/>
        </w:rPr>
        <w:t>General Authority:</w:t>
      </w:r>
      <w:r w:rsidRPr="008953E5">
        <w:t xml:space="preserve"> SDCL 58-17-87, 58-18-79, 58-18-79(15).</w:t>
      </w:r>
    </w:p>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8953E5">
        <w:tab/>
      </w:r>
      <w:r w:rsidRPr="008953E5">
        <w:rPr>
          <w:b/>
        </w:rPr>
        <w:t>Law Implemented:</w:t>
      </w:r>
      <w:r w:rsidRPr="008953E5">
        <w:t xml:space="preserve"> SDCL 58-17-87, 58-18-79, 58-18-80.</w:t>
      </w:r>
    </w:p>
    <w:p w:rsidR="001152A7" w:rsidRPr="008953E5" w:rsidRDefault="001152A7" w:rsidP="008953E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1152A7" w:rsidRPr="008953E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953E5"/>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2A7"/>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53E5"/>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124</Words>
  <Characters>710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2014-11-26T20:20:00Z</dcterms:created>
  <dcterms:modified xsi:type="dcterms:W3CDTF">2014-11-26T20:21:00Z</dcterms:modified>
</cp:coreProperties>
</file>