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DED" w:rsidRPr="00D260C1" w:rsidRDefault="004D5DED" w:rsidP="00D260C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260C1">
        <w:tab/>
      </w:r>
      <w:r w:rsidRPr="00D260C1">
        <w:rPr>
          <w:b/>
        </w:rPr>
        <w:t>20:06:58:33.  Determining employer size.</w:t>
      </w:r>
      <w:r w:rsidRPr="00D260C1">
        <w:t xml:space="preserve"> For purposes of § 20:06:58:32:</w:t>
      </w:r>
    </w:p>
    <w:p w:rsidR="004D5DED" w:rsidRPr="00D260C1" w:rsidRDefault="004D5DED" w:rsidP="00D260C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D5DED" w:rsidRPr="00D260C1" w:rsidRDefault="004D5DED" w:rsidP="00D260C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260C1">
        <w:tab/>
        <w:t>(1)  All persons treated as a single employer under subsections (b), (c), (m), and (o) of the Internal Revenue Code of 1986, codified at 26 U.S.C. 414, are treated as one employer;</w:t>
      </w:r>
    </w:p>
    <w:p w:rsidR="004D5DED" w:rsidRPr="00D260C1" w:rsidRDefault="004D5DED" w:rsidP="00D260C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D5DED" w:rsidRPr="00D260C1" w:rsidRDefault="004D5DED" w:rsidP="00D260C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260C1">
        <w:tab/>
        <w:t>(2)  If an employer was not in existence throughout the preceding calendar year, whether it is a small employer is determined based on the average number of employees the employer reasonably expects to employ on business days during the current calendar year; and</w:t>
      </w:r>
    </w:p>
    <w:p w:rsidR="004D5DED" w:rsidRPr="00D260C1" w:rsidRDefault="004D5DED" w:rsidP="00D260C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D5DED" w:rsidRPr="00D260C1" w:rsidRDefault="004D5DED" w:rsidP="00D260C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260C1">
        <w:tab/>
        <w:t>(3)  Any reference to an employer for purposes of the small employer exemption includes a reference to a predecessor of the employer.</w:t>
      </w:r>
    </w:p>
    <w:p w:rsidR="004D5DED" w:rsidRPr="00D260C1" w:rsidRDefault="004D5DED" w:rsidP="00D260C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D5DED" w:rsidRPr="00D260C1" w:rsidRDefault="004D5DED" w:rsidP="00D260C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260C1">
        <w:tab/>
      </w:r>
      <w:r w:rsidRPr="00D260C1">
        <w:rPr>
          <w:b/>
        </w:rPr>
        <w:t>Source:</w:t>
      </w:r>
      <w:r w:rsidRPr="00D260C1">
        <w:t xml:space="preserve"> 41 SDR 93, effective December 3, 2014.</w:t>
      </w:r>
    </w:p>
    <w:p w:rsidR="004D5DED" w:rsidRPr="00D260C1" w:rsidRDefault="004D5DED" w:rsidP="00D260C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260C1">
        <w:tab/>
      </w:r>
      <w:r w:rsidRPr="00D260C1">
        <w:rPr>
          <w:b/>
        </w:rPr>
        <w:t>General Authority:</w:t>
      </w:r>
      <w:r w:rsidRPr="00D260C1">
        <w:t xml:space="preserve"> SDCL 58-17-87, 58-18-79, 58-18-79(15).</w:t>
      </w:r>
    </w:p>
    <w:p w:rsidR="004D5DED" w:rsidRPr="00D260C1" w:rsidRDefault="004D5DED" w:rsidP="00D260C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D260C1">
        <w:tab/>
      </w:r>
      <w:r w:rsidRPr="00D260C1">
        <w:rPr>
          <w:b/>
        </w:rPr>
        <w:t>Law Implemented:</w:t>
      </w:r>
      <w:r w:rsidRPr="00D260C1">
        <w:t xml:space="preserve"> SDCL 58-17-87, 58-18-79, 58-18-80.</w:t>
      </w:r>
    </w:p>
    <w:p w:rsidR="004D5DED" w:rsidRPr="00D260C1" w:rsidRDefault="004D5DED" w:rsidP="00D260C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4D5DED" w:rsidRPr="00D260C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60C1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5DED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0C1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122</Words>
  <Characters>698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2014-11-26T20:22:00Z</dcterms:created>
  <dcterms:modified xsi:type="dcterms:W3CDTF">2014-11-26T20:22:00Z</dcterms:modified>
</cp:coreProperties>
</file>