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B6B1F">
        <w:tab/>
      </w:r>
      <w:r w:rsidRPr="006B6B1F">
        <w:rPr>
          <w:b/>
        </w:rPr>
        <w:t>20:06:58:38.  Six month determination.</w:t>
      </w:r>
      <w:r w:rsidRPr="006B6B1F">
        <w:t xml:space="preserve"> If a group health plan or health insurance issuer seeks an exemption under §§ 20:06:58:34 to 20:06:58:43, inclusive, determinations under § 20:06:58:36 may only be made after such plan or coverage has complied with §§ 20:06:58:01 to 20:06:58:45, inclusive, for at least the first six months of the plan year involved.</w:t>
      </w:r>
    </w:p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B6B1F">
        <w:tab/>
      </w:r>
      <w:r w:rsidRPr="006B6B1F">
        <w:rPr>
          <w:b/>
        </w:rPr>
        <w:t>Source:</w:t>
      </w:r>
      <w:r w:rsidRPr="006B6B1F">
        <w:t xml:space="preserve"> 41 SDR 93, effective December 3, 2014.</w:t>
      </w:r>
    </w:p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B6B1F">
        <w:tab/>
      </w:r>
      <w:r w:rsidRPr="006B6B1F">
        <w:rPr>
          <w:b/>
        </w:rPr>
        <w:t>General Authority:</w:t>
      </w:r>
      <w:r w:rsidRPr="006B6B1F">
        <w:t xml:space="preserve"> SDCL 58-17-87, 58-18-79, 58-18-79(15).</w:t>
      </w:r>
    </w:p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B6B1F">
        <w:tab/>
      </w:r>
      <w:r w:rsidRPr="006B6B1F">
        <w:rPr>
          <w:b/>
        </w:rPr>
        <w:t>Law Implemented:</w:t>
      </w:r>
      <w:r w:rsidRPr="006B6B1F">
        <w:t xml:space="preserve"> SDCL 58-17-87, 58-18-79, 58-18-80.</w:t>
      </w:r>
    </w:p>
    <w:p w:rsidR="007F15D8" w:rsidRPr="006B6B1F" w:rsidRDefault="007F15D8" w:rsidP="006B6B1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F15D8" w:rsidRPr="006B6B1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6B1F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6B1F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5D8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77</Words>
  <Characters>443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2014-11-26T20:26:00Z</dcterms:created>
  <dcterms:modified xsi:type="dcterms:W3CDTF">2014-11-26T20:27:00Z</dcterms:modified>
</cp:coreProperties>
</file>