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66F8" w:rsidRPr="00AD20D7" w:rsidRDefault="001066F8" w:rsidP="00AD20D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AD20D7">
        <w:tab/>
      </w:r>
      <w:r w:rsidRPr="00AD20D7">
        <w:rPr>
          <w:b/>
        </w:rPr>
        <w:t>20:06:58:41.  Use of summary of material reductions in covered services or benefits.</w:t>
      </w:r>
      <w:r w:rsidRPr="00AD20D7">
        <w:t xml:space="preserve"> A plan or issuer may satisfy the requirements of § 20:06:58:40 by providing participants and beneficiaries, in accordance with § 20:06:58:42, with a summary of material reductions in covered services or benefits consistent with 29 CFR 2520.104b-3(d) (December 3, 2014) that also includes the information specified in § 20:06:58:40. However, in all cases, the exemption under §§ 20:06:58:34 to 20:06:58:43, inclusive, is not effective until 30 days after notice required pursuant to § 20:06:58:39 has been sent.</w:t>
      </w:r>
    </w:p>
    <w:p w:rsidR="001066F8" w:rsidRPr="00AD20D7" w:rsidRDefault="001066F8" w:rsidP="00AD20D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1066F8" w:rsidRPr="00AD20D7" w:rsidRDefault="001066F8" w:rsidP="00AD20D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AD20D7">
        <w:tab/>
      </w:r>
      <w:r w:rsidRPr="00AD20D7">
        <w:rPr>
          <w:b/>
        </w:rPr>
        <w:t>Source:</w:t>
      </w:r>
      <w:r w:rsidRPr="00AD20D7">
        <w:t xml:space="preserve"> 41 SDR 93, effective December 3, 2014.</w:t>
      </w:r>
    </w:p>
    <w:p w:rsidR="001066F8" w:rsidRPr="00AD20D7" w:rsidRDefault="001066F8" w:rsidP="00AD20D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AD20D7">
        <w:tab/>
      </w:r>
      <w:r w:rsidRPr="00AD20D7">
        <w:rPr>
          <w:b/>
        </w:rPr>
        <w:t>General Authority:</w:t>
      </w:r>
      <w:r w:rsidRPr="00AD20D7">
        <w:t xml:space="preserve"> SDCL 58-17-87, 58-18-79, 58-18-79(15).</w:t>
      </w:r>
    </w:p>
    <w:p w:rsidR="001066F8" w:rsidRPr="00AD20D7" w:rsidRDefault="001066F8" w:rsidP="00AD20D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AD20D7">
        <w:tab/>
      </w:r>
      <w:r w:rsidRPr="00AD20D7">
        <w:rPr>
          <w:b/>
        </w:rPr>
        <w:t>Law Implemented:</w:t>
      </w:r>
      <w:r w:rsidRPr="00AD20D7">
        <w:t xml:space="preserve"> SDCL 58-17-87, 58-18-79, 58-18-80.</w:t>
      </w:r>
    </w:p>
    <w:p w:rsidR="001066F8" w:rsidRPr="00AD20D7" w:rsidRDefault="001066F8" w:rsidP="00AD20D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1066F8" w:rsidRPr="00AD20D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D20D7"/>
    <w:rsid w:val="000003FE"/>
    <w:rsid w:val="00000F30"/>
    <w:rsid w:val="00002392"/>
    <w:rsid w:val="00003884"/>
    <w:rsid w:val="00003BA6"/>
    <w:rsid w:val="00003BF9"/>
    <w:rsid w:val="00004B78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6F8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2829"/>
    <w:rsid w:val="001C35CC"/>
    <w:rsid w:val="001C39E2"/>
    <w:rsid w:val="001C49BC"/>
    <w:rsid w:val="001C4C8A"/>
    <w:rsid w:val="001C4CD8"/>
    <w:rsid w:val="001C57F5"/>
    <w:rsid w:val="001D325F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39A1"/>
    <w:rsid w:val="001F3E4B"/>
    <w:rsid w:val="001F48FC"/>
    <w:rsid w:val="001F60F9"/>
    <w:rsid w:val="001F6DB8"/>
    <w:rsid w:val="001F7847"/>
    <w:rsid w:val="002007AD"/>
    <w:rsid w:val="00200C76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6B0C"/>
    <w:rsid w:val="00357A1E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4E77"/>
    <w:rsid w:val="004052FE"/>
    <w:rsid w:val="00406A42"/>
    <w:rsid w:val="00406C01"/>
    <w:rsid w:val="004102E5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37F2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2916"/>
    <w:rsid w:val="00896AC1"/>
    <w:rsid w:val="00896F94"/>
    <w:rsid w:val="00897DEE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0D7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7C2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66CD"/>
    <w:rsid w:val="00DF6AB0"/>
    <w:rsid w:val="00E000C5"/>
    <w:rsid w:val="00E01111"/>
    <w:rsid w:val="00E01D89"/>
    <w:rsid w:val="00E02026"/>
    <w:rsid w:val="00E03C90"/>
    <w:rsid w:val="00E07223"/>
    <w:rsid w:val="00E072DB"/>
    <w:rsid w:val="00E07AE9"/>
    <w:rsid w:val="00E10F61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25BA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113</Words>
  <Characters>646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2014-11-26T20:28:00Z</dcterms:created>
  <dcterms:modified xsi:type="dcterms:W3CDTF">2014-11-26T20:28:00Z</dcterms:modified>
</cp:coreProperties>
</file>