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12:20:02:05.  Procedure for requested mediation.</w:t>
      </w:r>
      <w:r>
        <w:rPr>
          <w:szCs w:val="20"/>
        </w:rPr>
        <w:t xml:space="preserve"> The following procedure applies upon receipt of a request for mediation: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(1)  The director shall evaluate the request and determine if mediation is allowable under SDCL 54-13;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(2)  If allowable, the director may offer other alternative means to resolve the dispute and continue with the mediation process by mailing a notice of a request for mediation to all parties;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(3)  If not allowable, the director shall mail a notice to the requesting party explaining why the mediation request is not allowable through the Department of Agriculture</w:t>
      </w:r>
      <w:r>
        <w:rPr>
          <w:szCs w:val="20"/>
          <w:lang w:val="en-US" w:bidi="en-US" w:eastAsia="en-US"/>
        </w:rPr>
        <w:t xml:space="preserve"> and Natural Res</w:t>
      </w:r>
      <w:r>
        <w:rPr>
          <w:szCs w:val="20"/>
          <w:lang w:val="en-US" w:bidi="en-US" w:eastAsia="en-US"/>
        </w:rPr>
        <w:t>ources</w:t>
      </w:r>
      <w:r>
        <w:rPr>
          <w:szCs w:val="20"/>
        </w:rPr>
        <w:t>. A requesting party may in writing, request the determination of the director be reviewed by the secretary and reconsidered;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(4)  Mailing the notice of request for mediation by certified mail to the non-requesting party begins the mediation period;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(5)  A non-requesting party receiving notice of a request for mediation must answer in writing to the director within 20 days after the notice was postmarked;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(6)  A non-requesting party who fails to respond to the director within 20 days is considered to have waived mediation. Upon receipt of the non-requesting party's written intent to mediate, the director shall schedule a mediation session.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41 SDR 93, effective December 2, 2014</w:t>
      </w:r>
      <w:r>
        <w:rPr>
          <w:rFonts w:ascii="Times New Roman" w:hAnsi="Times New Roman"/>
          <w:sz w:val="24"/>
          <w:lang w:val="en-US" w:bidi="en-US" w:eastAsia="en-US"/>
        </w:rPr>
        <w:t>; SL 2021, ch 1, §§ 8, 19</w:t>
      </w:r>
      <w:r>
        <w:rPr>
          <w:rFonts w:ascii="Times New Roman" w:hAnsi="Times New Roman"/>
          <w:sz w:val="24"/>
          <w:lang w:val="en-US" w:bidi="en-US" w:eastAsia="en-US"/>
        </w:rPr>
        <w:t>, effective April 19, 2021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General Authority:</w:t>
      </w:r>
      <w:r>
        <w:rPr>
          <w:szCs w:val="20"/>
        </w:rPr>
        <w:t xml:space="preserve"> SDCL 54-13-2.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Law Implemented:</w:t>
      </w:r>
      <w:r>
        <w:rPr>
          <w:szCs w:val="20"/>
        </w:rPr>
        <w:t xml:space="preserve"> SDCL 54-13-2.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2014-12-02T14:35:00Z</dcterms:created>
  <cp:lastModifiedBy>Rhonda Purkapile</cp:lastModifiedBy>
  <dcterms:modified xsi:type="dcterms:W3CDTF">2021-03-17T20:13:52Z</dcterms:modified>
  <cp:revision>2</cp:revision>
</cp:coreProperties>
</file>