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64:02:03:16.02.  </w:t>
      </w:r>
      <w:r>
        <w:rPr>
          <w:b w:val="1"/>
          <w:szCs w:val="20"/>
          <w:lang w:val="en-US" w:bidi="en-US" w:eastAsia="en-US"/>
        </w:rPr>
        <w:t>Permanent certification renewal</w:t>
      </w:r>
      <w:r>
        <w:rPr>
          <w:b w:val="1"/>
          <w:szCs w:val="20"/>
        </w:rPr>
        <w:t xml:space="preserve"> requirements</w:t>
      </w:r>
      <w:r>
        <w:rPr>
          <w:b w:val="1"/>
          <w:szCs w:val="20"/>
        </w:rPr>
        <w:t>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T</w:t>
      </w:r>
      <w:r>
        <w:rPr>
          <w:szCs w:val="20"/>
        </w:rPr>
        <w:t>he following</w:t>
      </w:r>
      <w:r>
        <w:rPr>
          <w:szCs w:val="20"/>
          <w:lang w:val="en-US" w:bidi="en-US" w:eastAsia="en-US"/>
        </w:rPr>
        <w:t xml:space="preserve"> requirements to renew a permanent certificate must all be completed during each of the first, second, third, and fourth renewal periods</w:t>
      </w:r>
      <w:r>
        <w:rPr>
          <w:szCs w:val="20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 xml:space="preserve">(1)  Attend three annual assessors schools and receive a passing grade on the final exam. One school must be a 30 hour (excluding final examination time) course from the IAAO educational curriculum, unless the </w:t>
      </w:r>
      <w:r>
        <w:rPr>
          <w:szCs w:val="20"/>
          <w:lang w:val="en-US" w:bidi="en-US" w:eastAsia="en-US"/>
        </w:rPr>
        <w:t>individual</w:t>
      </w:r>
      <w:r>
        <w:rPr>
          <w:szCs w:val="20"/>
        </w:rPr>
        <w:t xml:space="preserve"> has previously successfully completed a total of five different department-approved IAAO courses;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(2)  Attend three department-approved conferences, one of which must be an SDAAO conference;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  <w:t>(3)  </w:t>
      </w:r>
      <w:r>
        <w:rPr>
          <w:szCs w:val="20"/>
        </w:rPr>
        <w:t>Complete 12 approved continuing education hours. Any continuing education hours must be approved by the secretary prior to completion;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  <w:lang w:val="en-US" w:bidi="en-US" w:eastAsia="en-US"/>
        </w:rPr>
        <w:tab/>
        <w:t>(4)  </w:t>
      </w:r>
      <w:r>
        <w:rPr>
          <w:szCs w:val="20"/>
          <w:lang w:val="en-US" w:bidi="en-US" w:eastAsia="en-US"/>
        </w:rPr>
        <w:t>Complete and pass a USPAP course approved by the secretary in an even numbered year. For the first renewal period, the individual must also complete a tested 15-hour USPAP course in an even numbered year. The individual may complete the 15-hour tested course prior to beginning the first renewal period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41 SDR 108, effective January 5, 2015</w:t>
      </w:r>
      <w:r>
        <w:rPr>
          <w:rFonts w:ascii="Times New Roman" w:hAnsi="Times New Roman"/>
          <w:sz w:val="24"/>
        </w:rPr>
        <w:t>; 47 SDR 71, effective December 10, 2020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General Authority:</w:t>
      </w:r>
      <w:r>
        <w:rPr>
          <w:szCs w:val="20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Law Implemented:</w:t>
      </w:r>
      <w:r>
        <w:rPr>
          <w:szCs w:val="20"/>
        </w:rPr>
        <w:t xml:space="preserve"> SDCL </w:t>
      </w:r>
      <w:r>
        <w:rPr>
          <w:szCs w:val="20"/>
          <w:lang w:val="en-US" w:bidi="en-US" w:eastAsia="en-US"/>
        </w:rPr>
        <w:t xml:space="preserve">10-3-1.1, </w:t>
      </w:r>
      <w:r>
        <w:rPr>
          <w:szCs w:val="20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2014-12-27T19:28:00Z</dcterms:created>
  <cp:lastModifiedBy>Rhonda Purkapile</cp:lastModifiedBy>
  <dcterms:modified xsi:type="dcterms:W3CDTF">2020-12-08T17:17:45Z</dcterms:modified>
  <cp:revision>3</cp:revision>
</cp:coreProperties>
</file>