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4BC8872E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  <w:r>
        <w:rPr>
          <w:rFonts w:ascii="Times" w:hAnsi="Times"/>
        </w:rPr>
        <w:tab/>
      </w:r>
      <w:r>
        <w:rPr>
          <w:rFonts w:ascii="Times" w:hAnsi="Times"/>
          <w:b w:val="1"/>
        </w:rPr>
        <w:t>24:58:03:04.  Alternative student growth model.</w:t>
      </w:r>
      <w:r>
        <w:rPr>
          <w:rFonts w:ascii="Times" w:hAnsi="Times"/>
        </w:rPr>
        <w:t xml:space="preserve"> </w:t>
      </w:r>
      <w:r>
        <w:rPr>
          <w:rFonts w:ascii="Times" w:hAnsi="Times"/>
          <w:lang w:val="en-US" w:bidi="en-US" w:eastAsia="en-US"/>
        </w:rPr>
        <w:t>Repealed</w:t>
      </w:r>
      <w:r>
        <w:rPr>
          <w:rFonts w:ascii="Times" w:hAnsi="Time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  <w:r>
        <w:rPr>
          <w:rFonts w:ascii="Times" w:hAnsi="Times"/>
        </w:rPr>
        <w:tab/>
      </w:r>
      <w:r>
        <w:rPr>
          <w:rFonts w:ascii="Times" w:hAnsi="Times"/>
          <w:b w:val="1"/>
        </w:rPr>
        <w:t>Source:</w:t>
      </w:r>
      <w:r>
        <w:rPr>
          <w:rFonts w:ascii="Times" w:hAnsi="Times"/>
        </w:rPr>
        <w:t xml:space="preserve"> 41 SDR 109, effective January 12, 2015</w:t>
      </w:r>
      <w:r>
        <w:t>; 44 SDR 42, effective September 12, 2017</w:t>
      </w:r>
      <w:r>
        <w:rPr>
          <w:rFonts w:ascii="Times" w:hAnsi="Time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