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9AFB57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24:58:03:05.  Alternative evaluation application.</w:t>
      </w:r>
      <w:r>
        <w:rPr>
          <w:rFonts w:ascii="Times" w:hAnsi="Times"/>
        </w:rPr>
        <w:t xml:space="preserve"> If a district intends to use another model of professional practice </w:t>
      </w:r>
      <w:r>
        <w:rPr>
          <w:rFonts w:ascii="Times" w:hAnsi="Times"/>
        </w:rPr>
        <w:t>as referenced in §§ 24:58:03:03</w:t>
      </w:r>
      <w:r>
        <w:rPr>
          <w:rFonts w:ascii="Times" w:hAnsi="Times"/>
        </w:rPr>
        <w:t>, it must apply on forms provided by the department. The department may require additional documents and information necessary to enable the department to make the determinations referenced in those sections.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Source:</w:t>
      </w:r>
      <w:r>
        <w:rPr>
          <w:rFonts w:ascii="Times" w:hAnsi="Times"/>
        </w:rPr>
        <w:t xml:space="preserve"> 41 SDR 109, effective January 12, 2015</w:t>
      </w:r>
      <w:r>
        <w:t>; 44 SDR 42, effective September 12, 2017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General Authority:</w:t>
      </w:r>
      <w:r>
        <w:rPr>
          <w:rFonts w:ascii="Times" w:hAnsi="Times"/>
        </w:rPr>
        <w:t xml:space="preserve"> SDCL 13-1-12.1, 13-3-69(7).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Law Implemented:</w:t>
      </w:r>
      <w:r>
        <w:rPr>
          <w:rFonts w:ascii="Times" w:hAnsi="Times"/>
        </w:rPr>
        <w:t xml:space="preserve"> SDCL 13-1-12.1, 13-3-47, 13-3-68, 13-3-69.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