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A5FBA5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24:58:03:09.  Evaluations of principals or assistant principals holding multiple appointments.</w:t>
      </w:r>
      <w:r>
        <w:rPr>
          <w:rFonts w:ascii="Times" w:hAnsi="Times"/>
        </w:rPr>
        <w:t xml:space="preserve"> If an individual serves as a superintendent or assistant superintendent and also serves as a principal or assistant principal, then the individual may be evaluated as: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(1)  A principal or assistant principal pursuant to this article, notwithstanding § 24:58:01:01(</w:t>
      </w:r>
      <w:r>
        <w:rPr>
          <w:rFonts w:ascii="Times" w:hAnsi="Times"/>
          <w:lang w:val="en-US" w:bidi="en-US" w:eastAsia="en-US"/>
        </w:rPr>
        <w:t>3</w:t>
      </w:r>
      <w:r>
        <w:rPr>
          <w:rFonts w:ascii="Times" w:hAnsi="Times"/>
        </w:rPr>
        <w:t>)(d);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(2)  A superintendent or assistant superintendent pursuant to district policy or procedure;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  <w:t>(3)  Both (1) and (2).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Source:</w:t>
      </w:r>
      <w:r>
        <w:rPr>
          <w:rFonts w:ascii="Times" w:hAnsi="Times"/>
        </w:rPr>
        <w:t xml:space="preserve"> 41 SDR 109, effective January 12, 2015</w:t>
      </w:r>
      <w:r>
        <w:t>; 44 SDR 42, effective September 12, 2017</w:t>
      </w:r>
      <w:r>
        <w:rPr>
          <w:rFonts w:ascii="Times" w:hAnsi="Time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General Authority:</w:t>
      </w:r>
      <w:r>
        <w:rPr>
          <w:rFonts w:ascii="Times" w:hAnsi="Times"/>
        </w:rPr>
        <w:t xml:space="preserve"> SDCL 13-1-12.1, 13-3-69(7).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  <w:b w:val="1"/>
        </w:rPr>
        <w:t>Law Implemented:</w:t>
      </w:r>
      <w:r>
        <w:rPr>
          <w:rFonts w:ascii="Times" w:hAnsi="Times"/>
        </w:rPr>
        <w:t xml:space="preserve"> SDCL 13-1-12.1, 13-3-47, 13-3-68, 13-3-69.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" w:hAnsi="Times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