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bookmarkStart w:id="0" w:name="_GoBack"/>
      <w:bookmarkEnd w:id="0"/>
      <w:r>
        <w:rPr>
          <w:rFonts w:ascii="Times New Roman" w:hAnsi="Times New Roman"/>
          <w:sz w:val="24"/>
          <w:szCs w:val="24"/>
        </w:rPr>
        <w:tab/>
      </w:r>
      <w:r>
        <w:rPr>
          <w:rFonts w:ascii="Times New Roman" w:hAnsi="Times New Roman"/>
          <w:b w:val="1"/>
          <w:sz w:val="24"/>
          <w:szCs w:val="24"/>
        </w:rPr>
        <w:t>74:05:08:12.03.  Affordability criteria to determine principal forgiveness eligibility.</w:t>
      </w:r>
      <w:r>
        <w:rPr>
          <w:rFonts w:ascii="Times New Roman" w:hAnsi="Times New Roman"/>
          <w:sz w:val="24"/>
          <w:szCs w:val="24"/>
        </w:rPr>
        <w:t xml:space="preserve"> All applicants will be awarded points to determine principal forgiveness eligibility as follows: five points if an applicant's median household income is less than or equal to </w:t>
      </w:r>
      <w:r>
        <w:rPr>
          <w:rFonts w:ascii="Times New Roman" w:hAnsi="Times New Roman"/>
          <w:sz w:val="24"/>
          <w:szCs w:val="24"/>
          <w:lang w:val="en-US" w:bidi="en-US" w:eastAsia="en-US"/>
        </w:rPr>
        <w:t>nin</w:t>
      </w:r>
      <w:r>
        <w:rPr>
          <w:rFonts w:ascii="Times New Roman" w:hAnsi="Times New Roman"/>
          <w:sz w:val="24"/>
          <w:szCs w:val="24"/>
          <w:lang w:val="en-US" w:bidi="en-US" w:eastAsia="en-US"/>
        </w:rPr>
        <w:t>ety-five</w:t>
      </w:r>
      <w:r>
        <w:rPr>
          <w:rFonts w:ascii="Times New Roman" w:hAnsi="Times New Roman"/>
          <w:sz w:val="24"/>
          <w:szCs w:val="24"/>
        </w:rPr>
        <w:t xml:space="preserve"> percent of the statewide median household income; three points if an applicant's median household income is less than or equal to </w:t>
      </w:r>
      <w:r>
        <w:rPr>
          <w:rFonts w:ascii="Times New Roman" w:hAnsi="Times New Roman"/>
          <w:sz w:val="24"/>
          <w:szCs w:val="24"/>
          <w:lang w:val="en-US" w:bidi="en-US" w:eastAsia="en-US"/>
        </w:rPr>
        <w:t xml:space="preserve">one hundred and </w:t>
      </w:r>
      <w:r>
        <w:rPr>
          <w:rFonts w:ascii="Times New Roman" w:hAnsi="Times New Roman"/>
          <w:sz w:val="24"/>
          <w:szCs w:val="24"/>
          <w:lang w:val="en-US" w:bidi="en-US" w:eastAsia="en-US"/>
        </w:rPr>
        <w:t xml:space="preserve">five percent of </w:t>
      </w:r>
      <w:r>
        <w:rPr>
          <w:rFonts w:ascii="Times New Roman" w:hAnsi="Times New Roman"/>
          <w:sz w:val="24"/>
          <w:szCs w:val="24"/>
        </w:rPr>
        <w:t xml:space="preserve">the statewide median household income and greater than </w:t>
      </w:r>
      <w:r>
        <w:rPr>
          <w:rFonts w:ascii="Times New Roman" w:hAnsi="Times New Roman"/>
          <w:sz w:val="24"/>
          <w:szCs w:val="24"/>
          <w:lang w:val="en-US" w:bidi="en-US" w:eastAsia="en-US"/>
        </w:rPr>
        <w:t>ninety-five</w:t>
      </w:r>
      <w:r>
        <w:rPr>
          <w:rFonts w:ascii="Times New Roman" w:hAnsi="Times New Roman"/>
          <w:sz w:val="24"/>
          <w:szCs w:val="24"/>
        </w:rPr>
        <w:t xml:space="preserve"> percent of the statewide median household income; one point if the applicant's 20</w:t>
      </w:r>
      <w:r>
        <w:rPr>
          <w:rFonts w:ascii="Times New Roman" w:hAnsi="Times New Roman"/>
          <w:sz w:val="24"/>
          <w:szCs w:val="24"/>
          <w:lang w:val="en-US" w:bidi="en-US" w:eastAsia="en-US"/>
        </w:rPr>
        <w:t>2</w:t>
      </w:r>
      <w:r>
        <w:rPr>
          <w:rFonts w:ascii="Times New Roman" w:hAnsi="Times New Roman"/>
          <w:sz w:val="24"/>
          <w:szCs w:val="24"/>
        </w:rPr>
        <w:t>0 census population is less than the applicant's 20</w:t>
      </w:r>
      <w:r>
        <w:rPr>
          <w:rFonts w:ascii="Times New Roman" w:hAnsi="Times New Roman"/>
          <w:sz w:val="24"/>
          <w:szCs w:val="24"/>
          <w:lang w:val="en-US" w:bidi="en-US" w:eastAsia="en-US"/>
        </w:rPr>
        <w:t>1</w:t>
      </w:r>
      <w:r>
        <w:rPr>
          <w:rFonts w:ascii="Times New Roman" w:hAnsi="Times New Roman"/>
          <w:sz w:val="24"/>
          <w:szCs w:val="24"/>
        </w:rPr>
        <w:t>0 census population; and one point if an applicant's county unemployment rate is greater than the statewide unemployment rate. If the boundaries of an applicant are located in more than one county, the unemployment rate of the county with the largest percentage of the applicant's population will be used. Applicants must receive a minimum of five points to be eligible for principal forgiveness.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lang w:val="en-US" w:bidi="en-US" w:eastAsia="en-US"/>
        </w:rPr>
        <w:tab/>
        <w:t>For the purposes of this section, the term, unemployment rate, means the 2021 average unemployme</w:t>
      </w:r>
      <w:r>
        <w:rPr>
          <w:rFonts w:ascii="Times New Roman" w:hAnsi="Times New Roman"/>
          <w:sz w:val="24"/>
          <w:szCs w:val="24"/>
          <w:lang w:val="en-US" w:bidi="en-US" w:eastAsia="en-US"/>
        </w:rPr>
        <w:t>nt r</w:t>
      </w:r>
      <w:r>
        <w:rPr>
          <w:rFonts w:ascii="Times New Roman" w:hAnsi="Times New Roman"/>
          <w:sz w:val="24"/>
          <w:szCs w:val="24"/>
          <w:lang w:val="en-US" w:bidi="en-US" w:eastAsia="en-US"/>
        </w:rPr>
        <w:t>ate for a county or state, as applicable, as determined by the South Dakota Department of Labor and Regulation, Labor Market Information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r>
      <w:r>
        <w:rPr>
          <w:rFonts w:ascii="Times New Roman" w:hAnsi="Times New Roman"/>
          <w:b w:val="1"/>
          <w:sz w:val="24"/>
          <w:szCs w:val="24"/>
        </w:rPr>
        <w:t>Source:</w:t>
      </w:r>
      <w:r>
        <w:rPr>
          <w:rFonts w:ascii="Times New Roman" w:hAnsi="Times New Roman"/>
          <w:sz w:val="24"/>
          <w:szCs w:val="24"/>
        </w:rPr>
        <w:t xml:space="preserve"> 41 SDR 173, effective May 11, 2015</w:t>
      </w:r>
      <w:r>
        <w:rPr>
          <w:rFonts w:ascii="Times New Roman" w:hAnsi="Times New Roman"/>
          <w:sz w:val="24"/>
          <w:szCs w:val="24"/>
          <w:lang w:val="en-US" w:bidi="en-US" w:eastAsia="en-US"/>
        </w:rPr>
        <w:t>; 49 SDR 1</w:t>
      </w:r>
      <w:r>
        <w:rPr>
          <w:rFonts w:ascii="Times New Roman" w:hAnsi="Times New Roman"/>
          <w:sz w:val="24"/>
          <w:szCs w:val="24"/>
          <w:lang w:val="en-US" w:bidi="en-US" w:eastAsia="en-US"/>
        </w:rPr>
        <w:t>00, effective May 22, 2023</w:t>
      </w:r>
      <w:r>
        <w:rPr>
          <w:rFonts w:ascii="Times New Roman" w:hAnsi="Times New Roman"/>
          <w:sz w:val="24"/>
          <w:szCs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r>
      <w:r>
        <w:rPr>
          <w:rFonts w:ascii="Times New Roman" w:hAnsi="Times New Roman"/>
          <w:b w:val="1"/>
          <w:sz w:val="24"/>
          <w:szCs w:val="24"/>
        </w:rPr>
        <w:t>General Authority:</w:t>
      </w:r>
      <w:r>
        <w:rPr>
          <w:rFonts w:ascii="Times New Roman" w:hAnsi="Times New Roman"/>
          <w:sz w:val="24"/>
          <w:szCs w:val="24"/>
        </w:rPr>
        <w:t xml:space="preserve"> SDCL 46A-1-60.</w:t>
      </w:r>
      <w:r>
        <w:rPr>
          <w:rFonts w:ascii="Times New Roman" w:hAnsi="Times New Roman"/>
          <w:sz w:val="24"/>
          <w:szCs w:val="24"/>
          <w:lang w:val="en-US" w:bidi="en-US" w:eastAsia="en-US"/>
        </w:rPr>
        <w:t>2</w:t>
      </w:r>
      <w:r>
        <w:rPr>
          <w:rFonts w:ascii="Times New Roman" w:hAnsi="Times New Roman"/>
          <w:sz w:val="24"/>
          <w:szCs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r>
      <w:r>
        <w:rPr>
          <w:rFonts w:ascii="Times New Roman" w:hAnsi="Times New Roman"/>
          <w:b w:val="1"/>
          <w:sz w:val="24"/>
          <w:szCs w:val="24"/>
        </w:rPr>
        <w:t>Law Implemented:</w:t>
      </w:r>
      <w:r>
        <w:rPr>
          <w:rFonts w:ascii="Times New Roman" w:hAnsi="Times New Roman"/>
          <w:sz w:val="24"/>
          <w:szCs w:val="24"/>
        </w:rPr>
        <w:t xml:space="preserve"> SDCL 46A-1-60.1 to 46A-1-60.3</w:t>
      </w:r>
      <w:r>
        <w:rPr>
          <w:rFonts w:ascii="Times New Roman" w:hAnsi="Times New Roman"/>
          <w:sz w:val="24"/>
          <w:szCs w:val="24"/>
          <w:lang w:val="en-US" w:bidi="en-US" w:eastAsia="en-US"/>
        </w:rPr>
        <w:t>, inclusive</w:t>
      </w:r>
      <w:r>
        <w:rPr>
          <w:rFonts w:ascii="Times New Roman" w:hAnsi="Times New Roman"/>
          <w:sz w:val="24"/>
          <w:szCs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lang w:val="en-US" w:bidi="en-US" w:eastAsia="en-US"/>
        </w:rPr>
      </w:pPr>
      <w:r>
        <w:rPr>
          <w:rFonts w:ascii="Times New Roman" w:hAnsi="Times New Roman"/>
          <w:sz w:val="24"/>
          <w:szCs w:val="24"/>
        </w:rPr>
        <w:tab/>
      </w:r>
      <w:r>
        <w:rPr>
          <w:rFonts w:ascii="Times New Roman" w:hAnsi="Times New Roman"/>
          <w:b w:val="1"/>
          <w:sz w:val="24"/>
          <w:szCs w:val="24"/>
          <w:lang w:val="en-US" w:bidi="en-US" w:eastAsia="en-US"/>
        </w:rPr>
        <w:t>Note</w:t>
      </w:r>
      <w:r>
        <w:rPr>
          <w:rFonts w:ascii="Times New Roman" w:hAnsi="Times New Roman"/>
          <w:b w:val="1"/>
          <w:sz w:val="24"/>
          <w:szCs w:val="24"/>
        </w:rPr>
        <w:t>:</w:t>
      </w:r>
      <w:r>
        <w:rPr>
          <w:rFonts w:ascii="Times New Roman" w:hAnsi="Times New Roman"/>
          <w:sz w:val="24"/>
          <w:szCs w:val="24"/>
        </w:rPr>
        <w:t xml:space="preserve"> </w:t>
      </w:r>
      <w:r>
        <w:rPr>
          <w:rFonts w:ascii="Times New Roman" w:hAnsi="Times New Roman"/>
          <w:sz w:val="24"/>
          <w:szCs w:val="24"/>
          <w:lang w:val="en-US" w:bidi="en-US" w:eastAsia="en-US"/>
        </w:rPr>
        <w:t>The 2021 average unemployment rate for a county or state</w:t>
      </w:r>
      <w:r>
        <w:rPr>
          <w:rFonts w:ascii="Times New Roman" w:hAnsi="Times New Roman"/>
          <w:sz w:val="24"/>
          <w:szCs w:val="24"/>
        </w:rPr>
        <w:t xml:space="preserve"> is available at no cost over the internet at </w:t>
      </w:r>
      <w:hyperlink xmlns:r="http://schemas.openxmlformats.org/officeDocument/2006/relationships" r:id="R2">
        <w:r>
          <w:rPr>
            <w:rStyle w:val="C2"/>
            <w:rFonts w:ascii="Times New Roman" w:hAnsi="Times New Roman"/>
            <w:sz w:val="24"/>
            <w:szCs w:val="24"/>
            <w:lang w:val="en-US" w:bidi="en-US" w:eastAsia="en-US"/>
          </w:rPr>
          <w:t>https://danr.sd.gov/Funding/EnvironmentalFunding/docs/2020</w:t>
        </w:r>
        <w:r>
          <w:rPr>
            <w:rStyle w:val="C2"/>
            <w:rFonts w:ascii="Times New Roman" w:hAnsi="Times New Roman"/>
            <w:sz w:val="24"/>
            <w:szCs w:val="24"/>
            <w:lang w:val="en-US" w:bidi="en-US" w:eastAsia="en-US"/>
          </w:rPr>
          <w:t>_MHI.xlsx</w:t>
        </w:r>
      </w:hyperlink>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spacing w:lineRule="auto" w:line="276" w:after="200" w:beforeAutospacing="0" w:afterAutospacing="0"/>
    </w:pPr>
    <w:rPr>
      <w:sz w:val="22"/>
      <w:szCs w:val="22"/>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s://danr.sd.gov/Funding/EnvironmentalFunding/docs/2020_MHI.xlsx" TargetMode="Externa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2015-05-05T20:39:00Z</dcterms:created>
  <cp:lastModifiedBy>Kelly Thompson</cp:lastModifiedBy>
  <dcterms:modified xsi:type="dcterms:W3CDTF">2023-05-12T20:56:30Z</dcterms:modified>
  <cp:revision>5</cp:revision>
</cp:coreProperties>
</file>