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1B284A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24:18:01:01.  Definitions.</w:t>
      </w:r>
      <w:r>
        <w:rPr>
          <w:rFonts w:ascii="Times New Roman" w:hAnsi="Times New Roman"/>
          <w:sz w:val="24"/>
        </w:rPr>
        <w:t xml:space="preserve"> Terms defined in SDCL 13-42-1 have the same meaning when used in this article. Other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"Application," all materials necessary to determine whether the applicant meets certification requirements, including the executed application and related documents referenced in chapter 24: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:0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, the application fee referenced in § 24: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>05, and all other documents requested of the applicant by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"Certification requirements," the requirements referenced in SDCL chapter 13-42 and articles 24: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 xml:space="preserve"> and 24:53;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"Commission," the Professional Teachers Practices and Standards Commission or the Professional Administrators Practices and Standards Commission referenced in SDCL chapter 13-43;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"Denial," a determination that a certificate should not be issued or renewed.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Source: </w:t>
      </w:r>
      <w:r>
        <w:rPr>
          <w:rFonts w:ascii="Times New Roman" w:hAnsi="Times New Roman"/>
          <w:sz w:val="24"/>
        </w:rPr>
        <w:t>42 SDR 35, effective September 14, 2015</w:t>
      </w:r>
      <w:r>
        <w:rPr>
          <w:rFonts w:ascii="Times New Roman" w:hAnsi="Times New Roman"/>
          <w:sz w:val="24"/>
        </w:rPr>
        <w:t>; 43 SDR 175, effective July 3,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13-42-1, 13-42-1.2, 13-42-3, 13-42-4.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