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29FD28D" Type="http://schemas.openxmlformats.org/officeDocument/2006/relationships/officeDocument" Target="/word/document.xml" /><Relationship Id="coreR229FD28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70:12:02:06.  Five-year project list.</w:t>
      </w:r>
      <w:r>
        <w:t xml:space="preserve"> The county highway and bridge improvement plan</w:t>
      </w:r>
      <w:r>
        <w:rPr>
          <w:lang w:val="en-US" w:bidi="en-US" w:eastAsia="en-US"/>
        </w:rPr>
        <w:t xml:space="preserve"> or plan update</w:t>
      </w:r>
      <w:r>
        <w:t xml:space="preserve"> shall include a list of the projects proposed to be undertaken by the county over the next five years</w:t>
      </w:r>
      <w:r>
        <w:t>. A bridge project shall appear on the project list to be eligible for a bridge improvement grant. Project information shall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The location of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The type of project improvement;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Each source of available funding for the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The estimate of the cost of the project;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  The year the project is proposed to be built.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45 SDR 142, effective May 28,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1-44-7.5,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1-44-7.5, 32-11-38, 32-11-39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2015-09-29T14:41:00Z</dcterms:created>
  <cp:lastModifiedBy>Kelly Thompson</cp:lastModifiedBy>
  <dcterms:modified xsi:type="dcterms:W3CDTF">2019-05-14T20:26:10Z</dcterms:modified>
  <cp:revision>2</cp:revision>
</cp:coreProperties>
</file>