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FD1D5DE" Type="http://schemas.openxmlformats.org/officeDocument/2006/relationships/officeDocument" Target="/word/document.xml" /><Relationship Id="coreR3FD1D5D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70:13:01:01.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"ADT," average daily traffic;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"BIG," bridge improvement grant;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"Bridge," as defined in SDCL 31-14-1, a structure, including supports, erected over a depression or an obstruction, as water, highway, or railway, the structure having a length measured along the center of the roadway of more than twenty feet between undercopings of abutments or extreme ends of openings for multiple boxes and pipes where the clear distance between openings is less than half of the smaller contiguous opening;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"Bridge condition," an engineering </w:t>
      </w:r>
      <w:r>
        <w:rPr>
          <w:lang w:val="en-US" w:bidi="en-US" w:eastAsia="en-US"/>
        </w:rPr>
        <w:t>assessment</w:t>
      </w:r>
      <w:r>
        <w:t xml:space="preserve"> of the structural components of a bridge </w:t>
      </w:r>
      <w:r>
        <w:rPr>
          <w:lang w:val="en-US" w:bidi="en-US" w:eastAsia="en-US"/>
        </w:rPr>
        <w:t>pursuant to</w:t>
      </w:r>
      <w:r>
        <w:t xml:space="preserve"> national bridge inspection </w:t>
      </w:r>
      <w:r>
        <w:rPr>
          <w:lang w:val="en-US" w:bidi="en-US" w:eastAsia="en-US"/>
        </w:rPr>
        <w:t>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"Commission," the South Dakota Transportation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(7)  "Local participation," </w:t>
      </w:r>
      <w:r>
        <w:t xml:space="preserve">the level of wheel tax </w:t>
      </w:r>
      <w:r>
        <w:t xml:space="preserve">implemented by </w:t>
      </w:r>
      <w:r>
        <w:rPr>
          <w:lang w:val="en-US" w:bidi="en-US" w:eastAsia="en-US"/>
        </w:rPr>
        <w:t xml:space="preserve">a </w:t>
      </w:r>
      <w:r>
        <w:t xml:space="preserve">county </w:t>
      </w:r>
      <w:r>
        <w:rPr>
          <w:lang w:val="en-US" w:bidi="en-US" w:eastAsia="en-US"/>
        </w:rPr>
        <w:t xml:space="preserve">LPA, </w:t>
      </w:r>
      <w:r>
        <w:rPr>
          <w:lang w:val="en-US" w:bidi="en-US" w:eastAsia="en-US"/>
        </w:rPr>
        <w:t>any increase</w:t>
      </w:r>
      <w:r>
        <w:rPr>
          <w:lang w:val="en-US" w:bidi="en-US" w:eastAsia="en-US"/>
        </w:rPr>
        <w:t xml:space="preserve"> in local financial obligations beyond the program req</w:t>
      </w:r>
      <w:r>
        <w:rPr>
          <w:lang w:val="en-US" w:bidi="en-US" w:eastAsia="en-US"/>
        </w:rPr>
        <w:t>uirements, and plans that are complete for preservation, rehabilit</w:t>
      </w:r>
      <w:r>
        <w:rPr>
          <w:lang w:val="en-US" w:bidi="en-US" w:eastAsia="en-US"/>
        </w:rPr>
        <w:t>ation and replacement projects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"LPA," any local public agency authorized by statute to own, maintain, and govern the use of a bridge;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w:t>
      </w:r>
      <w:r>
        <w:rPr>
          <w:lang w:val="en-US" w:bidi="en-US" w:eastAsia="en-US"/>
        </w:rPr>
        <w:t>National bridge inspection standards," national standards established by the United States Department of Transportation for the inspectio</w:t>
      </w:r>
      <w:r>
        <w:rPr>
          <w:lang w:val="en-US" w:bidi="en-US" w:eastAsia="en-US"/>
        </w:rPr>
        <w:t>n and evaluation of bridges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r>
      <w:r>
        <w:rPr>
          <w:lang w:val="en-US" w:bidi="en-US" w:eastAsia="en-US"/>
        </w:rPr>
        <w:t>  </w:t>
      </w:r>
      <w:r>
        <w:t>"Pr</w:t>
      </w:r>
      <w:r>
        <w:rPr>
          <w:lang w:val="en-US" w:bidi="en-US" w:eastAsia="en-US"/>
        </w:rPr>
        <w:t>el</w:t>
      </w:r>
      <w:r>
        <w:rPr>
          <w:lang w:val="en-US" w:bidi="en-US" w:eastAsia="en-US"/>
        </w:rPr>
        <w:t>iminary Engineering</w:t>
      </w:r>
      <w:r>
        <w:t xml:space="preserve">," </w:t>
      </w:r>
      <w:r>
        <w:rPr>
          <w:lang w:val="en-US" w:bidi="en-US" w:eastAsia="en-US"/>
        </w:rPr>
        <w:t>evaluation of topography and legal survey, possible repair and replacement options, and hydraulic analyses, and the determination of the structure type, si</w:t>
      </w:r>
      <w:r>
        <w:rPr>
          <w:lang w:val="en-US" w:bidi="en-US" w:eastAsia="en-US"/>
        </w:rPr>
        <w:t>ze, and location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val="en-US" w:bidi="en-US" w:eastAsia="en-US"/>
        </w:rPr>
      </w:pPr>
      <w:r>
        <w:tab/>
      </w:r>
      <w:r>
        <w:rPr>
          <w:lang w:val="en-US" w:bidi="en-US" w:eastAsia="en-US"/>
        </w:rPr>
        <w:t>(11)  </w:t>
      </w:r>
      <w:r>
        <w:t>"</w:t>
      </w:r>
      <w:r>
        <w:rPr>
          <w:lang w:val="en-US" w:bidi="en-US" w:eastAsia="en-US"/>
        </w:rPr>
        <w:t>Procedures</w:t>
      </w:r>
      <w:r>
        <w:t xml:space="preserve">," </w:t>
      </w:r>
      <w:r>
        <w:rPr>
          <w:lang w:val="en-US" w:bidi="en-US" w:eastAsia="en-US"/>
        </w:rPr>
        <w:t>comp</w:t>
      </w:r>
      <w:r>
        <w:rPr>
          <w:lang w:val="en-US" w:bidi="en-US" w:eastAsia="en-US"/>
        </w:rPr>
        <w:t>rehensive program procedures approved by the commission pursuant to 70:13:01:06;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val="en-US" w:bidi="en-US" w:eastAsia="en-US"/>
        </w:rPr>
        <w:tab/>
        <w:t>(12) "Use</w:t>
      </w:r>
      <w:r>
        <w:rPr>
          <w:lang w:val="en-US" w:bidi="en-US" w:eastAsia="en-US"/>
        </w:rPr>
        <w:t>r impact," the amount of traffic on the b</w:t>
      </w:r>
      <w:r>
        <w:rPr>
          <w:lang w:val="en-US" w:bidi="en-US" w:eastAsia="en-US"/>
        </w:rPr>
        <w:t>ri</w:t>
      </w:r>
      <w:r>
        <w:rPr>
          <w:lang w:val="en-US" w:bidi="en-US" w:eastAsia="en-US"/>
        </w:rPr>
        <w:t>dge and the detour length needed if the bridge is closed.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val="en-US" w:bidi="en-US" w:eastAsia="en-US"/>
        </w:rPr>
      </w:pPr>
      <w:r>
        <w:tab/>
      </w:r>
      <w:r>
        <w:rPr>
          <w:b w:val="1"/>
        </w:rPr>
        <w:t>Source:</w:t>
      </w:r>
      <w:r>
        <w:t xml:space="preserve"> 42 SDR 52, effective October 13, 2015</w:t>
      </w:r>
      <w:r>
        <w:rPr>
          <w:lang w:val="en-US" w:bidi="en-US" w:eastAsia="en-US"/>
        </w:rPr>
        <w:t>; 43 SDR 57, effective October 17, 2016</w:t>
      </w:r>
      <w:r>
        <w:rPr>
          <w:lang w:val="en-US" w:bidi="en-US" w:eastAsia="en-US"/>
        </w:rP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val="en-US" w:bidi="en-US" w:eastAsia="en-US"/>
        </w:rPr>
        <w:t>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2019-05-14T20:35:05Z</dcterms:created>
  <cp:lastModifiedBy>Kelly Thompson</cp:lastModifiedBy>
  <dcterms:modified xsi:type="dcterms:W3CDTF">2019-05-14T20:42:06Z</dcterms:modified>
  <cp:revision>1</cp:revision>
</cp:coreProperties>
</file>