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8CA2CF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bookmarkStart w:id="0" w:name="_GoBack"/>
      <w:bookmarkEnd w:id="0"/>
      <w:r>
        <w:tab/>
      </w:r>
      <w:r>
        <w:rPr>
          <w:b w:val="1"/>
        </w:rPr>
        <w:t>70:13:01:02.  Eligibility and compliance.</w:t>
      </w:r>
      <w:r>
        <w:t xml:space="preserve"> Any LPA of this state may apply for a BIG pursuant to this chapter for the purposes described in SDCL 32-11-38. To be eligible to apply to the department and to receive a grant from the BIG fund, a county shall have a</w:t>
      </w:r>
      <w:r>
        <w:rPr>
          <w:lang w:val="en-US" w:bidi="en-US" w:eastAsia="en-US"/>
        </w:rPr>
        <w:t xml:space="preserve"> wheel tax and a</w:t>
      </w:r>
      <w:r>
        <w:t xml:space="preserve"> department </w:t>
      </w:r>
      <w:r>
        <w:rPr>
          <w:lang w:val="en-US" w:bidi="en-US" w:eastAsia="en-US"/>
        </w:rPr>
        <w:t>accept</w:t>
      </w:r>
      <w:r>
        <w:t>ed county highway and bridge improvement plan as specified in chapter 70:12:02.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The LPA shall file the application with the department as required by §§70:13:01:03 and 70:13:01:04 and shall comply with the</w:t>
      </w:r>
      <w:r>
        <w:rPr>
          <w:lang w:val="en-US" w:bidi="en-US" w:eastAsia="en-US"/>
        </w:rPr>
        <w:t xml:space="preserve"> procedures,</w:t>
      </w:r>
      <w:r>
        <w:t xml:space="preserve"> requirements, conditions, restrictions, and limitations </w:t>
      </w:r>
      <w:r>
        <w:rPr>
          <w:lang w:val="en-US" w:bidi="en-US" w:eastAsia="en-US"/>
        </w:rPr>
        <w:t>referred to in</w:t>
      </w:r>
      <w:r>
        <w:t xml:space="preserve"> this chapter.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42 SDR 52, effective October 13, 2015</w:t>
      </w:r>
      <w:r>
        <w:rPr>
          <w:lang w:val="en-US" w:bidi="en-US" w:eastAsia="en-US"/>
        </w:rPr>
        <w:t>; 43 SDR 57, effective October 17, 2016</w:t>
      </w:r>
      <w:r>
        <w:t>; 44 SDR 42, effective September 11, 2017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32-11-38,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