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F471FE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70:13:01:03.  Application.</w:t>
      </w:r>
      <w:r>
        <w:t xml:space="preserve"> Each application shall be </w:t>
      </w:r>
      <w:r>
        <w:rPr>
          <w:lang w:val="en-US" w:bidi="en-US" w:eastAsia="en-US"/>
        </w:rPr>
        <w:t>submitted</w:t>
      </w:r>
      <w:r>
        <w:t xml:space="preserve"> on the forms provided by the department</w:t>
      </w:r>
      <w:r>
        <w:rPr>
          <w:lang w:val="en-US" w:bidi="en-US" w:eastAsia="en-US"/>
        </w:rPr>
        <w:t xml:space="preserve"> and must be accompanied by a resolution from</w:t>
      </w:r>
      <w:r>
        <w:t xml:space="preserve"> the governing body </w:t>
      </w:r>
      <w:r>
        <w:t>of the</w:t>
      </w:r>
      <w:r>
        <w:rPr>
          <w:lang w:val="en-US" w:bidi="en-US" w:eastAsia="en-US"/>
        </w:rPr>
        <w:t xml:space="preserve"> </w:t>
      </w:r>
      <w:r>
        <w:t>LPA. The resolution shall authorize the application and any funding commitments made by the</w:t>
      </w:r>
      <w:r>
        <w:rPr>
          <w:lang w:val="en-US" w:bidi="en-US" w:eastAsia="en-US"/>
        </w:rPr>
        <w:t xml:space="preserve"> </w:t>
      </w:r>
      <w:r>
        <w:t>LPA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rPr>
          <w:lang w:val="en-US" w:bidi="en-US" w:eastAsia="en-US"/>
        </w:rPr>
        <w:t>; 43 SDR 57,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32-11-38,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