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70:13:01:10.  Project requirements.</w:t>
      </w:r>
      <w:r>
        <w:t xml:space="preserve"> For </w:t>
      </w:r>
      <w:r>
        <w:rPr>
          <w:lang w:val="en-US" w:bidi="en-US" w:eastAsia="en-US"/>
        </w:rPr>
        <w:t xml:space="preserve">preservation, </w:t>
      </w:r>
      <w:r>
        <w:t xml:space="preserve">rehabilitation </w:t>
      </w:r>
      <w:r>
        <w:rPr>
          <w:lang w:val="en-US" w:bidi="en-US" w:eastAsia="en-US"/>
        </w:rPr>
        <w:t>and</w:t>
      </w:r>
      <w:r>
        <w:t xml:space="preserve"> replacement projects, the</w:t>
      </w:r>
      <w:r>
        <w:rPr>
          <w:lang w:val="en-US" w:bidi="en-US" w:eastAsia="en-US"/>
        </w:rPr>
        <w:t xml:space="preserve"> department shall review plans and provide letting authorization prior to bid letting. For preservation, rehabilitation, and replacement</w:t>
      </w:r>
      <w:r>
        <w:t xml:space="preserve"> </w:t>
      </w:r>
      <w:r>
        <w:rPr>
          <w:lang w:val="en-US" w:bidi="en-US" w:eastAsia="en-US"/>
        </w:rPr>
        <w:t xml:space="preserve">grants, all </w:t>
      </w:r>
      <w:r>
        <w:rPr>
          <w:lang w:val="en-US" w:bidi="en-US" w:eastAsia="en-US"/>
        </w:rPr>
        <w:t>eligible</w:t>
      </w:r>
      <w:r>
        <w:rPr>
          <w:lang w:val="en-US" w:bidi="en-US" w:eastAsia="en-US"/>
        </w:rPr>
        <w:t xml:space="preserve"> expenses </w:t>
      </w:r>
      <w:r>
        <w:t xml:space="preserve">shall be </w:t>
      </w:r>
      <w:r>
        <w:rPr>
          <w:lang w:val="en-US" w:bidi="en-US" w:eastAsia="en-US"/>
        </w:rPr>
        <w:t xml:space="preserve">incurred </w:t>
      </w:r>
      <w:r>
        <w:t xml:space="preserve">within </w:t>
      </w:r>
      <w:r>
        <w:rPr>
          <w:lang w:val="en-US" w:bidi="en-US" w:eastAsia="en-US"/>
        </w:rPr>
        <w:t>four</w:t>
      </w:r>
      <w:r>
        <w:t xml:space="preserve"> years from the date of notice of</w:t>
      </w:r>
      <w:r>
        <w:rPr>
          <w:lang w:val="en-US" w:bidi="en-US" w:eastAsia="en-US"/>
        </w:rPr>
        <w:t xml:space="preserve"> </w:t>
      </w:r>
      <w:r>
        <w:t xml:space="preserve">BIG award. For preliminary engineering grants, all </w:t>
      </w:r>
      <w:r>
        <w:rPr>
          <w:lang w:val="en-US" w:bidi="en-US" w:eastAsia="en-US"/>
        </w:rPr>
        <w:t>eligible</w:t>
      </w:r>
      <w:r>
        <w:t xml:space="preserve"> expenses shall be incurred within</w:t>
      </w:r>
      <w:r>
        <w:rPr>
          <w:lang w:val="en-US" w:bidi="en-US" w:eastAsia="en-US"/>
        </w:rPr>
        <w:t xml:space="preserve"> three</w:t>
      </w:r>
      <w:r>
        <w:t xml:space="preserve"> years from the date of notice of BIG award. The department may extend</w:t>
      </w:r>
      <w:r>
        <w:rPr>
          <w:lang w:val="en-US" w:bidi="en-US" w:eastAsia="en-US"/>
        </w:rPr>
        <w:t xml:space="preserve"> </w:t>
      </w:r>
      <w:r>
        <w:t>the deadline for any BIG, before or after the expiration of the deadline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2015; 43 SDR 57, effective October 17, 2016; 44 SDR 42, effective September 11, 2017</w:t>
      </w:r>
      <w:r>
        <w:rPr>
          <w:lang w:val="en-US" w:bidi="en-US" w:eastAsia="en-US"/>
        </w:rPr>
        <w:t>; 45 SDR 142, effective May 28, 2019</w:t>
      </w:r>
      <w:r>
        <w:rPr>
          <w:lang w:val="en-US" w:bidi="en-US" w:eastAsia="en-US"/>
        </w:rPr>
        <w:t>; 47 SDR 137, effective June 27, 2021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2019-05-14T20:49:44Z</dcterms:created>
  <cp:lastModifiedBy>Kelly Thompson</cp:lastModifiedBy>
  <dcterms:modified xsi:type="dcterms:W3CDTF">2021-06-21T21:24:56Z</dcterms:modified>
  <cp:revision>3</cp:revision>
</cp:coreProperties>
</file>