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04FC0E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bookmarkStart w:id="0" w:name="_GoBack"/>
      <w:bookmarkEnd w:id="0"/>
      <w:r>
        <w:tab/>
      </w:r>
      <w:r>
        <w:rPr>
          <w:b w:val="1"/>
        </w:rPr>
        <w:t>70:13:01:13.  Remedies.</w:t>
      </w:r>
      <w:r>
        <w:t xml:space="preserve"> If the commission determines </w:t>
      </w:r>
      <w:r>
        <w:t xml:space="preserve">a LPA </w:t>
      </w:r>
      <w:r>
        <w:rPr>
          <w:lang w:val="en-US" w:bidi="en-US" w:eastAsia="en-US"/>
        </w:rPr>
        <w:t>is in</w:t>
      </w:r>
      <w:r>
        <w:t xml:space="preserve"> default</w:t>
      </w:r>
      <w:r>
        <w:t xml:space="preserve"> pursuant to § 70:13:01:12, the department shall provide written notice of the default to the LPA. The LPA shall repay</w:t>
      </w:r>
      <w:r>
        <w:t xml:space="preserve"> all</w:t>
      </w:r>
      <w:r>
        <w:rPr>
          <w:lang w:val="en-US" w:bidi="en-US" w:eastAsia="en-US"/>
        </w:rPr>
        <w:t xml:space="preserve"> the BIG</w:t>
      </w:r>
      <w:r>
        <w:t xml:space="preserve"> funds disbursed </w:t>
      </w:r>
      <w:r>
        <w:t xml:space="preserve">by the department for that </w:t>
      </w:r>
      <w:r>
        <w:rPr>
          <w:lang w:val="en-US" w:bidi="en-US" w:eastAsia="en-US"/>
        </w:rPr>
        <w:t>grant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42 SDR 52, effective, October 13, 2015</w:t>
      </w:r>
      <w:r>
        <w:rPr>
          <w:lang w:val="en-US" w:bidi="en-US" w:eastAsia="en-US"/>
        </w:rPr>
        <w:t>; 43 SDR 57,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32-11-38, 32-11-39.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