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44:73:02:11.  Plumbing.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 facility's</w:t>
      </w:r>
      <w:r>
        <w:rPr>
          <w:rFonts w:ascii="Times New Roman" w:hAnsi="Times New Roman"/>
          <w:sz w:val="24"/>
          <w:szCs w:val="24"/>
        </w:rPr>
        <w:t xml:space="preserve"> plumbing systems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be designed and installed in accordance with SDCL 36-25-15 and 36-25-15.1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and article 20:54</w:t>
      </w:r>
      <w:r>
        <w:rPr>
          <w:rFonts w:ascii="Times New Roman" w:hAnsi="Times New Roman"/>
          <w:sz w:val="24"/>
          <w:szCs w:val="24"/>
        </w:rPr>
        <w:t xml:space="preserve">. Plumbing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be sized, installed, and maintained to carry required quantities of water to required locations throughout the facility.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SL 1975, ch 16, § 1; 6 SDR 93, effective July 1, 1980; 14 SDR 81, effective December 10, 1987; 22 SDR 70, effective November 19, 1995; transferred from § 44:04:02:10,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tive No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2015-10-09T22:30:00Z</dcterms:created>
  <cp:lastModifiedBy>Kelly Thompson</cp:lastModifiedBy>
  <dcterms:modified xsi:type="dcterms:W3CDTF">2024-11-08T15:17:46Z</dcterms:modified>
  <cp:revision>3</cp:revision>
</cp:coreProperties>
</file>