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44:73:07:13.  Frequency of meals.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A facility shall service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</w:t>
      </w:r>
      <w:r>
        <w:rPr>
          <w:rFonts w:ascii="Times New Roman" w:hAnsi="Times New Roman"/>
          <w:sz w:val="24"/>
          <w:szCs w:val="24"/>
        </w:rPr>
        <w:t xml:space="preserve">t least three meals </w:t>
      </w:r>
      <w:r>
        <w:rPr>
          <w:rFonts w:ascii="Times New Roman" w:hAnsi="Times New Roman"/>
          <w:sz w:val="24"/>
          <w:szCs w:val="24"/>
        </w:rPr>
        <w:t xml:space="preserve">daily at regular times with not more than a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fourteen</w:t>
      </w:r>
      <w:r>
        <w:rPr>
          <w:rFonts w:ascii="Times New Roman" w:hAnsi="Times New Roman"/>
          <w:sz w:val="24"/>
          <w:szCs w:val="24"/>
        </w:rPr>
        <w:t xml:space="preserve">-hour span between a substantial evening meal and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the next day's </w:t>
      </w:r>
      <w:r>
        <w:rPr>
          <w:rFonts w:ascii="Times New Roman" w:hAnsi="Times New Roman"/>
          <w:sz w:val="24"/>
          <w:szCs w:val="24"/>
        </w:rPr>
        <w:t>breakfast.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If a facility serves a nourishing snack at bedtime, up to sixteen hours may elapse between the substantial evening meal and the next day's breakfast with the consent of the facility's resident council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SL 1975, ch 16, § 1; 6 SDR 93, effective July 1, 1980; 14 SDR 81, effective December 10, 1987; 22 SDR 70, effective November 19, 1995; transferred from § 44:04:07:11, 42 SDR 51, effective October 13, 2015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51 SDR 53, effective November 11, 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2015-10-11T21:29:00Z</dcterms:created>
  <cp:lastModifiedBy>Kelly Thompson</cp:lastModifiedBy>
  <dcterms:modified xsi:type="dcterms:W3CDTF">2024-11-08T21:30:44Z</dcterms:modified>
  <cp:revision>4</cp:revision>
</cp:coreProperties>
</file>