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44:73:10:02.  Activities program.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facility shall develop an individualized </w:t>
      </w:r>
      <w:r>
        <w:rPr>
          <w:rFonts w:ascii="Times New Roman" w:hAnsi="Times New Roman"/>
          <w:sz w:val="24"/>
          <w:szCs w:val="24"/>
        </w:rPr>
        <w:t xml:space="preserve">activities program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that holistically meets the individ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ual needs and interest of residents and maintains optimal levels of physical and psyc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hosocial functioning</w:t>
      </w:r>
      <w:r>
        <w:rPr>
          <w:rFonts w:ascii="Times New Roman" w:hAnsi="Times New Roman"/>
          <w:sz w:val="24"/>
          <w:szCs w:val="24"/>
        </w:rPr>
        <w:t xml:space="preserve"> of </w:t>
      </w:r>
      <w:r>
        <w:rPr>
          <w:rFonts w:ascii="Times New Roman" w:hAnsi="Times New Roman"/>
          <w:sz w:val="24"/>
          <w:szCs w:val="24"/>
        </w:rPr>
        <w:t>residents.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29 SDR 81, effective December 11, 2002; transferred from § 44:04:12:02,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2015-10-12T18:29:00Z</dcterms:created>
  <cp:lastModifiedBy>Kelly Thompson</cp:lastModifiedBy>
  <dcterms:modified xsi:type="dcterms:W3CDTF">2024-11-09T03:06:36Z</dcterms:modified>
  <cp:revision>4</cp:revision>
</cp:coreProperties>
</file>