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44:73:10:05.  Rehabilitation services.</w:t>
      </w:r>
      <w:r>
        <w:rPr>
          <w:rFonts w:ascii="Times New Roman" w:hAnsi="Times New Roman"/>
          <w:sz w:val="24"/>
          <w:szCs w:val="24"/>
        </w:rPr>
        <w:t xml:space="preserve"> A facility shall provide rehabilitation services based on the needs of residents as identified in the comprehensive resident assessment specified in §§ 44:73:06:10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22 SDR 70, effective November 19, 1995; transferred from § 44:04:12:06,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R 53, effective Novem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2015-10-12T18:33:00Z</dcterms:created>
  <cp:lastModifiedBy>Kelly Thompson</cp:lastModifiedBy>
  <dcterms:modified xsi:type="dcterms:W3CDTF">2024-11-09T03:11:37Z</dcterms:modified>
  <cp:revision>3</cp:revision>
</cp:coreProperties>
</file>