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44:73:11:10.  Grievances.</w:t>
      </w:r>
      <w:r>
        <w:rPr>
          <w:rFonts w:ascii="Times New Roman" w:hAnsi="Times New Roman"/>
          <w:sz w:val="24"/>
          <w:szCs w:val="24"/>
        </w:rPr>
        <w:t xml:space="preserve"> A resident's grievance may be in writing or oral and may relate to treatment furnished, treatment that has not been furnished, the behavior of other residents, and infringement of the resident's rights. A facility shall adopt a grievance process and make the process known to each resident and to the resident's immediate family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 or legal representative</w:t>
      </w:r>
      <w:r>
        <w:rPr>
          <w:rFonts w:ascii="Times New Roman" w:hAnsi="Times New Roman"/>
          <w:sz w:val="24"/>
          <w:szCs w:val="24"/>
        </w:rPr>
        <w:t xml:space="preserve">. The grievance process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must outline</w:t>
      </w:r>
      <w:r>
        <w:rPr>
          <w:rFonts w:ascii="Times New Roman" w:hAnsi="Times New Roman"/>
          <w:sz w:val="24"/>
          <w:szCs w:val="24"/>
        </w:rPr>
        <w:t xml:space="preserve"> the facility's efforts to resolve the grievance and documentation of: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(1)  The grievance;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(2)  The names of the persons involved;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(3)  The disposition of the matter;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(4)  The date of disposition.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19 SDR 95, effective January 7, 1993; 22 SDR 70, effective November 19, 1995; 29 SDR 81, effective December 11, 2002; transferred from § 44:04:17:10, 42 SDR 51, effective October 13, 2015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51 SDR 53, effective November 11, 2024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General Authority: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Law Implemented: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rPr>
          <w:szCs w:val="24"/>
        </w:rPr>
      </w:pPr>
    </w:p>
    <w:sectPr>
      <w:type w:val="nextPage"/>
      <w:pgMar w:left="1440" w:right="1267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2015-10-12T18:57:00Z</dcterms:created>
  <cp:lastModifiedBy>Kelly Thompson</cp:lastModifiedBy>
  <dcterms:modified xsi:type="dcterms:W3CDTF">2024-11-11T13:40:30Z</dcterms:modified>
  <cp:revision>3</cp:revision>
</cp:coreProperties>
</file>