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 xml:space="preserve">44:75:04:09.  Tuberculin screening </w:t>
      </w:r>
      <w:r>
        <w:rPr>
          <w:rFonts w:ascii="Times New Roman" w:hAnsi="Times New Roman"/>
          <w:b w:val="1"/>
          <w:sz w:val="24"/>
          <w:lang w:val="en-US" w:bidi="en-US" w:eastAsia="en-US"/>
        </w:rPr>
        <w:t xml:space="preserve">and testing </w:t>
      </w:r>
      <w:r>
        <w:rPr>
          <w:rFonts w:ascii="Times New Roman" w:hAnsi="Times New Roman"/>
          <w:b w:val="1"/>
          <w:sz w:val="24"/>
        </w:rPr>
        <w:t>requirements.</w:t>
      </w:r>
      <w:r>
        <w:rPr>
          <w:rFonts w:ascii="Times New Roman" w:hAnsi="Times New Roman"/>
          <w:sz w:val="24"/>
        </w:rPr>
        <w:t xml:space="preserve"> Each facility shall develop criteria to screen healthcare </w:t>
      </w:r>
      <w:r>
        <w:rPr>
          <w:rFonts w:ascii="Times New Roman" w:hAnsi="Times New Roman"/>
          <w:sz w:val="24"/>
          <w:lang w:val="en-US" w:bidi="en-US" w:eastAsia="en-US"/>
        </w:rPr>
        <w:t>personnel</w:t>
      </w:r>
      <w:r>
        <w:rPr>
          <w:rFonts w:ascii="Times New Roman" w:hAnsi="Times New Roman"/>
          <w:sz w:val="24"/>
        </w:rPr>
        <w:t xml:space="preserve"> for </w:t>
      </w:r>
      <w:r>
        <w:rPr>
          <w:rFonts w:ascii="Times New Roman" w:hAnsi="Times New Roman"/>
          <w:i w:val="1"/>
          <w:sz w:val="24"/>
        </w:rPr>
        <w:t>Mycobacterium</w:t>
      </w:r>
      <w:r>
        <w:rPr>
          <w:rFonts w:ascii="Times New Roman" w:hAnsi="Times New Roman"/>
          <w:sz w:val="24"/>
        </w:rPr>
        <w:t xml:space="preserve"> tuberculosis (TB) based on the </w:t>
      </w:r>
      <w:r>
        <w:rPr>
          <w:rFonts w:ascii="Times New Roman" w:hAnsi="Times New Roman"/>
          <w:sz w:val="24"/>
          <w:lang w:val="en-US" w:bidi="en-US" w:eastAsia="en-US"/>
        </w:rPr>
        <w:t xml:space="preserve">Tuberculosis Screening, Testing, and Treatment of U.S. Health Care Personnel: Recommendations from the National Tuberculosis Controllers Association and </w:t>
      </w:r>
      <w:r>
        <w:rPr>
          <w:rFonts w:ascii="Times New Roman" w:hAnsi="Times New Roman"/>
          <w:sz w:val="24"/>
          <w:lang w:val="en-US" w:bidi="en-US" w:eastAsia="en-US"/>
        </w:rPr>
        <w:t>CDC, 2019.</w:t>
      </w:r>
      <w:r>
        <w:rPr>
          <w:rFonts w:ascii="Times New Roman" w:hAnsi="Times New Roman"/>
          <w:sz w:val="24"/>
        </w:rPr>
        <w:t xml:space="preserve"> Each facility shall establish policies and procedures for conducting </w:t>
      </w:r>
      <w:r>
        <w:rPr>
          <w:rFonts w:ascii="Times New Roman" w:hAnsi="Times New Roman"/>
          <w:i w:val="0"/>
          <w:sz w:val="24"/>
          <w:lang w:val="en-US" w:bidi="en-US" w:eastAsia="en-US"/>
        </w:rPr>
        <w:t>TB</w:t>
      </w:r>
      <w:r>
        <w:rPr>
          <w:rFonts w:ascii="Times New Roman" w:hAnsi="Times New Roman"/>
          <w:sz w:val="24"/>
        </w:rPr>
        <w:t xml:space="preserve"> risk assessment</w:t>
      </w:r>
      <w:r>
        <w:rPr>
          <w:rFonts w:ascii="Times New Roman" w:hAnsi="Times New Roman"/>
          <w:sz w:val="24"/>
          <w:lang w:val="en-US" w:bidi="en-US" w:eastAsia="en-US"/>
        </w:rPr>
        <w:t>s</w:t>
      </w:r>
      <w:r>
        <w:rPr>
          <w:rFonts w:ascii="Times New Roman" w:hAnsi="Times New Roman"/>
          <w:sz w:val="24"/>
        </w:rPr>
        <w:t xml:space="preserve"> that include the key components of responsibility, surveillance, </w:t>
      </w:r>
      <w:r>
        <w:rPr>
          <w:rFonts w:ascii="Times New Roman" w:hAnsi="Times New Roman"/>
          <w:sz w:val="24"/>
          <w:lang w:val="en-US" w:bidi="en-US" w:eastAsia="en-US"/>
        </w:rPr>
        <w:t xml:space="preserve">and </w:t>
      </w:r>
      <w:r>
        <w:rPr>
          <w:rFonts w:ascii="Times New Roman" w:hAnsi="Times New Roman"/>
          <w:sz w:val="24"/>
        </w:rPr>
        <w:t>containment</w:t>
      </w:r>
      <w:r>
        <w:rPr>
          <w:rFonts w:ascii="Times New Roman" w:hAnsi="Times New Roman"/>
          <w:sz w:val="24"/>
        </w:rPr>
        <w:t xml:space="preserve">. The frequency of repeat screening </w:t>
      </w:r>
      <w:r>
        <w:rPr>
          <w:rFonts w:ascii="Times New Roman" w:hAnsi="Times New Roman"/>
          <w:sz w:val="24"/>
        </w:rPr>
        <w:t>depend</w:t>
      </w:r>
      <w:r>
        <w:rPr>
          <w:rFonts w:ascii="Times New Roman" w:hAnsi="Times New Roman"/>
          <w:sz w:val="24"/>
          <w:lang w:val="en-US" w:bidi="en-US" w:eastAsia="en-US"/>
        </w:rPr>
        <w:t>s</w:t>
      </w:r>
      <w:r>
        <w:rPr>
          <w:rFonts w:ascii="Times New Roman" w:hAnsi="Times New Roman"/>
          <w:sz w:val="24"/>
        </w:rPr>
        <w:t xml:space="preserve"> upon annual </w:t>
      </w:r>
      <w:r>
        <w:rPr>
          <w:rFonts w:ascii="Times New Roman" w:hAnsi="Times New Roman"/>
          <w:sz w:val="24"/>
          <w:lang w:val="en-US" w:bidi="en-US" w:eastAsia="en-US"/>
        </w:rPr>
        <w:t xml:space="preserve">facility </w:t>
      </w:r>
      <w:r>
        <w:rPr>
          <w:rFonts w:ascii="Times New Roman" w:hAnsi="Times New Roman"/>
          <w:sz w:val="24"/>
        </w:rPr>
        <w:t xml:space="preserve">risk </w:t>
      </w:r>
      <w:r>
        <w:rPr>
          <w:rFonts w:ascii="Times New Roman" w:hAnsi="Times New Roman"/>
          <w:sz w:val="24"/>
          <w:lang w:val="en-US" w:bidi="en-US" w:eastAsia="en-US"/>
        </w:rPr>
        <w:t>results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Tuberculin screening requirements for healthcare </w:t>
      </w:r>
      <w:r>
        <w:rPr>
          <w:rFonts w:ascii="Times New Roman" w:hAnsi="Times New Roman"/>
          <w:sz w:val="24"/>
          <w:lang w:val="en-US" w:bidi="en-US" w:eastAsia="en-US"/>
        </w:rPr>
        <w:t>personnel</w:t>
      </w:r>
      <w:r>
        <w:rPr>
          <w:rFonts w:ascii="Times New Roman" w:hAnsi="Times New Roman"/>
          <w:sz w:val="24"/>
        </w:rPr>
        <w:t xml:space="preserve"> are as follows: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(1)  Each new healthcare </w:t>
      </w:r>
      <w:r>
        <w:rPr>
          <w:rFonts w:ascii="Times New Roman" w:hAnsi="Times New Roman"/>
          <w:sz w:val="24"/>
          <w:lang w:val="en-US" w:bidi="en-US" w:eastAsia="en-US"/>
        </w:rPr>
        <w:t>personnel</w:t>
      </w:r>
      <w:r>
        <w:rPr>
          <w:rFonts w:ascii="Times New Roman" w:hAnsi="Times New Roman"/>
          <w:sz w:val="24"/>
        </w:rPr>
        <w:t xml:space="preserve"> shall receive </w:t>
      </w:r>
      <w:r>
        <w:rPr>
          <w:rFonts w:ascii="Times New Roman" w:hAnsi="Times New Roman"/>
          <w:sz w:val="24"/>
          <w:lang w:val="en-US" w:bidi="en-US" w:eastAsia="en-US"/>
        </w:rPr>
        <w:t>an initial indiv</w:t>
      </w:r>
      <w:r>
        <w:rPr>
          <w:rFonts w:ascii="Times New Roman" w:hAnsi="Times New Roman"/>
          <w:sz w:val="24"/>
          <w:lang w:val="en-US" w:bidi="en-US" w:eastAsia="en-US"/>
        </w:rPr>
        <w:t xml:space="preserve">idual Tb risk assessment that is documented and </w:t>
      </w:r>
      <w:r>
        <w:rPr>
          <w:rFonts w:ascii="Times New Roman" w:hAnsi="Times New Roman"/>
          <w:sz w:val="24"/>
        </w:rPr>
        <w:t xml:space="preserve">the two-step method of tuberculin skin test or a TB blood assay test to establish a baseline within </w:t>
      </w:r>
      <w:r>
        <w:rPr>
          <w:rFonts w:ascii="Times New Roman" w:hAnsi="Times New Roman"/>
          <w:sz w:val="24"/>
          <w:lang w:val="en-US" w:bidi="en-US" w:eastAsia="en-US"/>
        </w:rPr>
        <w:t>twenty-one</w:t>
      </w:r>
      <w:r>
        <w:rPr>
          <w:rFonts w:ascii="Times New Roman" w:hAnsi="Times New Roman"/>
          <w:sz w:val="24"/>
        </w:rPr>
        <w:t xml:space="preserve"> days of employment. Any two documented tuberculin skin tests completed within a </w:t>
      </w:r>
      <w:r>
        <w:rPr>
          <w:rFonts w:ascii="Times New Roman" w:hAnsi="Times New Roman"/>
          <w:sz w:val="24"/>
          <w:lang w:val="en-US" w:bidi="en-US" w:eastAsia="en-US"/>
        </w:rPr>
        <w:t>twelve-</w:t>
      </w:r>
      <w:r>
        <w:rPr>
          <w:rFonts w:ascii="Times New Roman" w:hAnsi="Times New Roman"/>
          <w:sz w:val="24"/>
        </w:rPr>
        <w:t xml:space="preserve">month period prior to the date of employment </w:t>
      </w:r>
      <w:r>
        <w:rPr>
          <w:rFonts w:ascii="Times New Roman" w:hAnsi="Times New Roman"/>
          <w:sz w:val="24"/>
          <w:lang w:val="en-US" w:bidi="en-US" w:eastAsia="en-US"/>
        </w:rPr>
        <w:t>are</w:t>
      </w:r>
      <w:r>
        <w:rPr>
          <w:rFonts w:ascii="Times New Roman" w:hAnsi="Times New Roman"/>
          <w:sz w:val="24"/>
        </w:rPr>
        <w:t xml:space="preserve"> considered </w:t>
      </w:r>
      <w:r>
        <w:rPr>
          <w:rFonts w:ascii="Times New Roman" w:hAnsi="Times New Roman"/>
          <w:sz w:val="24"/>
        </w:rPr>
        <w:t>two-step</w:t>
      </w:r>
      <w:r>
        <w:rPr>
          <w:rFonts w:ascii="Times New Roman" w:hAnsi="Times New Roman"/>
          <w:sz w:val="24"/>
          <w:lang w:val="en-US" w:bidi="en-US" w:eastAsia="en-US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 xml:space="preserve">A </w:t>
      </w:r>
      <w:r>
        <w:rPr>
          <w:rFonts w:ascii="Times New Roman" w:hAnsi="Times New Roman"/>
          <w:sz w:val="24"/>
        </w:rPr>
        <w:t xml:space="preserve">TB blood assay test completed within a </w:t>
      </w:r>
      <w:r>
        <w:rPr>
          <w:rFonts w:ascii="Times New Roman" w:hAnsi="Times New Roman"/>
          <w:sz w:val="24"/>
          <w:lang w:val="en-US" w:bidi="en-US" w:eastAsia="en-US"/>
        </w:rPr>
        <w:t>twelve-</w:t>
      </w:r>
      <w:r>
        <w:rPr>
          <w:rFonts w:ascii="Times New Roman" w:hAnsi="Times New Roman"/>
          <w:sz w:val="24"/>
        </w:rPr>
        <w:t xml:space="preserve">month period prior to the date of employment </w:t>
      </w:r>
      <w:r>
        <w:rPr>
          <w:rFonts w:ascii="Times New Roman" w:hAnsi="Times New Roman"/>
          <w:sz w:val="24"/>
          <w:lang w:val="en-US" w:bidi="en-US" w:eastAsia="en-US"/>
        </w:rPr>
        <w:t>or direct pa</w:t>
      </w:r>
      <w:r>
        <w:rPr>
          <w:rFonts w:ascii="Times New Roman" w:hAnsi="Times New Roman"/>
          <w:sz w:val="24"/>
          <w:lang w:val="en-US" w:bidi="en-US" w:eastAsia="en-US"/>
        </w:rPr>
        <w:t xml:space="preserve">tient </w:t>
      </w:r>
      <w:r>
        <w:rPr>
          <w:rFonts w:ascii="Times New Roman" w:hAnsi="Times New Roman"/>
          <w:sz w:val="24"/>
          <w:lang w:val="en-US" w:bidi="en-US" w:eastAsia="en-US"/>
        </w:rPr>
        <w:t xml:space="preserve">care </w:t>
      </w:r>
      <w:r>
        <w:rPr>
          <w:rFonts w:ascii="Times New Roman" w:hAnsi="Times New Roman"/>
          <w:sz w:val="24"/>
          <w:lang w:val="en-US" w:bidi="en-US" w:eastAsia="en-US"/>
        </w:rPr>
        <w:t>is</w:t>
      </w:r>
      <w:r>
        <w:rPr>
          <w:rFonts w:ascii="Times New Roman" w:hAnsi="Times New Roman"/>
          <w:sz w:val="24"/>
        </w:rPr>
        <w:t xml:space="preserve"> considered an adequate baseline test. Skin testing or TB blood assay tests are not necessary if a new </w:t>
      </w:r>
      <w:r>
        <w:rPr>
          <w:rFonts w:ascii="Times New Roman" w:hAnsi="Times New Roman"/>
          <w:sz w:val="24"/>
          <w:lang w:val="en-US" w:bidi="en-US" w:eastAsia="en-US"/>
        </w:rPr>
        <w:t>healthcare personnel</w:t>
      </w:r>
      <w:r>
        <w:rPr>
          <w:rFonts w:ascii="Times New Roman" w:hAnsi="Times New Roman"/>
          <w:sz w:val="24"/>
        </w:rPr>
        <w:t xml:space="preserve"> transfers from one licensed healthcare facility to another licensed healthcare facility within the state if the facility received documentation</w:t>
      </w:r>
      <w:r>
        <w:rPr>
          <w:rFonts w:ascii="Times New Roman" w:hAnsi="Times New Roman"/>
          <w:sz w:val="24"/>
          <w:lang w:val="en-US" w:bidi="en-US" w:eastAsia="en-US"/>
        </w:rPr>
        <w:t>, from the transferring healthcare facility or personnel,</w:t>
      </w:r>
      <w:r>
        <w:rPr>
          <w:rFonts w:ascii="Times New Roman" w:hAnsi="Times New Roman"/>
          <w:sz w:val="24"/>
        </w:rPr>
        <w:t xml:space="preserve"> of the last skin or blood assay TB testing </w:t>
      </w:r>
      <w:r>
        <w:rPr>
          <w:rFonts w:ascii="Times New Roman" w:hAnsi="Times New Roman"/>
          <w:sz w:val="24"/>
          <w:lang w:val="en-US" w:bidi="en-US" w:eastAsia="en-US"/>
        </w:rPr>
        <w:t xml:space="preserve">having been </w:t>
      </w:r>
      <w:r>
        <w:rPr>
          <w:rFonts w:ascii="Times New Roman" w:hAnsi="Times New Roman"/>
          <w:sz w:val="24"/>
        </w:rPr>
        <w:t xml:space="preserve">completed within the prior </w:t>
      </w:r>
      <w:r>
        <w:rPr>
          <w:rFonts w:ascii="Times New Roman" w:hAnsi="Times New Roman"/>
          <w:sz w:val="24"/>
          <w:lang w:val="en-US" w:bidi="en-US" w:eastAsia="en-US"/>
        </w:rPr>
        <w:t>twelve</w:t>
      </w:r>
      <w:r>
        <w:rPr>
          <w:rFonts w:ascii="Times New Roman" w:hAnsi="Times New Roman"/>
          <w:sz w:val="24"/>
        </w:rPr>
        <w:t xml:space="preserve"> months. Skin testing or TB blood assay test are not necessary if documentation is provided of a previous positive reaction to either test. Any </w:t>
      </w:r>
      <w:r>
        <w:rPr>
          <w:rFonts w:ascii="Times New Roman" w:hAnsi="Times New Roman"/>
          <w:sz w:val="24"/>
        </w:rPr>
        <w:t xml:space="preserve">healthcare </w:t>
      </w:r>
      <w:r>
        <w:rPr>
          <w:rFonts w:ascii="Times New Roman" w:hAnsi="Times New Roman"/>
          <w:sz w:val="24"/>
          <w:lang w:val="en-US" w:bidi="en-US" w:eastAsia="en-US"/>
        </w:rPr>
        <w:t>personnel</w:t>
      </w:r>
      <w:r>
        <w:rPr>
          <w:rFonts w:ascii="Times New Roman" w:hAnsi="Times New Roman"/>
          <w:sz w:val="24"/>
        </w:rPr>
        <w:t xml:space="preserve"> who has a newly recognized positive reaction to the skin test or TB blood assay test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have a medical evaluation and a chest X-ray to determine the presence or absence of the active disease;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</w:t>
      </w:r>
      <w:r>
        <w:rPr>
          <w:rFonts w:ascii="Times New Roman" w:hAnsi="Times New Roman"/>
          <w:sz w:val="24"/>
          <w:lang w:val="en-US" w:bidi="en-US" w:eastAsia="en-US"/>
        </w:rPr>
        <w:t>Each</w:t>
      </w:r>
      <w:r>
        <w:rPr>
          <w:rFonts w:ascii="Times New Roman" w:hAnsi="Times New Roman"/>
          <w:sz w:val="24"/>
        </w:rPr>
        <w:t xml:space="preserve"> healthcare </w:t>
      </w:r>
      <w:r>
        <w:rPr>
          <w:rFonts w:ascii="Times New Roman" w:hAnsi="Times New Roman"/>
          <w:sz w:val="24"/>
          <w:lang w:val="en-US" w:bidi="en-US" w:eastAsia="en-US"/>
        </w:rPr>
        <w:t>personnel</w:t>
      </w:r>
      <w:r>
        <w:rPr>
          <w:rFonts w:ascii="Times New Roman" w:hAnsi="Times New Roman"/>
          <w:sz w:val="24"/>
        </w:rPr>
        <w:t xml:space="preserve"> who provides documentation of a positive reaction to the tuberculin skin test or TB blood assay test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have a medical evaluation and chest X-ray to determine the presence or absence of the active disease;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</w:rPr>
        <w:tab/>
        <w:t xml:space="preserve">(3)  Each healthcare </w:t>
      </w:r>
      <w:r>
        <w:rPr>
          <w:rFonts w:ascii="Times New Roman" w:hAnsi="Times New Roman"/>
          <w:sz w:val="24"/>
          <w:lang w:val="en-US" w:bidi="en-US" w:eastAsia="en-US"/>
        </w:rPr>
        <w:t>personnel</w:t>
      </w:r>
      <w:r>
        <w:rPr>
          <w:rFonts w:ascii="Times New Roman" w:hAnsi="Times New Roman"/>
          <w:sz w:val="24"/>
        </w:rPr>
        <w:t xml:space="preserve"> with a history of a positive reaction to the tuberculin skin test or TB blood assay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evaluated annually by a physician, physician assistant, nurse practitioner, clinical nurse specialist, or a nurse and a record maintained of the presence or absence of symptoms of </w:t>
      </w:r>
      <w:r>
        <w:rPr>
          <w:rFonts w:ascii="Times New Roman" w:hAnsi="Times New Roman"/>
          <w:i w:val="0"/>
          <w:sz w:val="24"/>
          <w:lang w:val="en-US" w:bidi="en-US" w:eastAsia="en-US"/>
        </w:rPr>
        <w:t>TB</w:t>
      </w:r>
      <w:r>
        <w:rPr>
          <w:rFonts w:ascii="Times New Roman" w:hAnsi="Times New Roman"/>
          <w:sz w:val="24"/>
        </w:rPr>
        <w:t xml:space="preserve">. If this evaluation </w:t>
      </w:r>
      <w:r>
        <w:rPr>
          <w:rFonts w:ascii="Times New Roman" w:hAnsi="Times New Roman"/>
          <w:sz w:val="24"/>
          <w:lang w:val="en-US" w:bidi="en-US" w:eastAsia="en-US"/>
        </w:rPr>
        <w:t>supports the possibility</w:t>
      </w:r>
      <w:r>
        <w:rPr>
          <w:rFonts w:ascii="Times New Roman" w:hAnsi="Times New Roman"/>
          <w:sz w:val="24"/>
        </w:rPr>
        <w:t xml:space="preserve"> of active tuberculosis, the </w:t>
      </w:r>
      <w:r>
        <w:rPr>
          <w:rFonts w:ascii="Times New Roman" w:hAnsi="Times New Roman"/>
          <w:sz w:val="24"/>
          <w:lang w:val="en-US" w:bidi="en-US" w:eastAsia="en-US"/>
        </w:rPr>
        <w:t>healthcare personnel must</w:t>
      </w:r>
      <w:r>
        <w:rPr>
          <w:rFonts w:ascii="Times New Roman" w:hAnsi="Times New Roman"/>
          <w:sz w:val="24"/>
        </w:rPr>
        <w:t xml:space="preserve"> be referred for further medical evaluation to confirm the presence or absence of tuberculosis</w:t>
      </w:r>
      <w:r>
        <w:rPr>
          <w:rFonts w:ascii="Times New Roman" w:hAnsi="Times New Roman"/>
          <w:sz w:val="24"/>
          <w:lang w:val="en-US" w:bidi="en-US" w:eastAsia="en-US"/>
        </w:rPr>
        <w:t>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(4)  Each healthcare personnel iden</w:t>
      </w:r>
      <w:r>
        <w:rPr>
          <w:rFonts w:ascii="Times New Roman" w:hAnsi="Times New Roman"/>
          <w:sz w:val="24"/>
          <w:lang w:val="en-US" w:bidi="en-US" w:eastAsia="en-US"/>
        </w:rPr>
        <w:t>tified at increased risk for TB because of an occupational risk or current or planned immunosuppression must receive an annual TB risk screening.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42 SDR 51, effective October 13, 2015</w:t>
      </w:r>
      <w:r>
        <w:rPr>
          <w:rFonts w:ascii="Times New Roman" w:hAnsi="Times New Roman"/>
          <w:sz w:val="24"/>
          <w:lang w:val="en-US" w:bidi="en-US" w:eastAsia="en-US"/>
        </w:rPr>
        <w:t>; 50 SDR 62, effective November 27, 2023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34-12-13(1)</w:t>
      </w:r>
      <w:r>
        <w:rPr>
          <w:rFonts w:ascii="Times New Roman" w:hAnsi="Times New Roman"/>
          <w:sz w:val="24"/>
        </w:rPr>
        <w:t>(5)</w:t>
      </w:r>
      <w:r>
        <w:rPr>
          <w:rFonts w:ascii="Times New Roman" w:hAnsi="Times New Roman"/>
          <w:sz w:val="24"/>
        </w:rPr>
        <w:t>(14), 34-22-9.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34-12-13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 xml:space="preserve">Reference: </w:t>
      </w:r>
      <w:r>
        <w:rPr>
          <w:rFonts w:ascii="Times New Roman" w:hAnsi="Times New Roman"/>
          <w:b w:val="1"/>
          <w:sz w:val="24"/>
          <w:lang w:val="en-US" w:bidi="en-US" w:eastAsia="en-US"/>
        </w:rPr>
        <w:t xml:space="preserve">Tuberculosis Screening, Testing, and Treatment of U.S. Health Care Personnel: Recommendations from the National </w:t>
      </w:r>
      <w:r>
        <w:rPr>
          <w:rFonts w:ascii="Times New Roman" w:hAnsi="Times New Roman"/>
          <w:b w:val="1"/>
          <w:sz w:val="24"/>
          <w:lang w:val="en-US" w:bidi="en-US" w:eastAsia="en-US"/>
        </w:rPr>
        <w:t>Tu</w:t>
      </w:r>
      <w:r>
        <w:rPr>
          <w:rFonts w:ascii="Times New Roman" w:hAnsi="Times New Roman"/>
          <w:b w:val="1"/>
          <w:sz w:val="24"/>
          <w:lang w:val="en-US" w:bidi="en-US" w:eastAsia="en-US"/>
        </w:rPr>
        <w:t>berculosis Contr</w:t>
      </w:r>
      <w:r>
        <w:rPr>
          <w:rFonts w:ascii="Times New Roman" w:hAnsi="Times New Roman"/>
          <w:b w:val="1"/>
          <w:sz w:val="24"/>
          <w:lang w:val="en-US" w:bidi="en-US" w:eastAsia="en-US"/>
        </w:rPr>
        <w:t xml:space="preserve">ollers Association and </w:t>
      </w:r>
      <w:r>
        <w:rPr>
          <w:rFonts w:ascii="Times New Roman" w:hAnsi="Times New Roman"/>
          <w:b w:val="1"/>
          <w:sz w:val="24"/>
          <w:lang w:val="en-US" w:bidi="en-US" w:eastAsia="en-US"/>
        </w:rPr>
        <w:t>CDC, 2019.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Centers for Disease Control and Prevention Morbidity and Mortality Weekly Report,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May 17, 2019/68(19); pages 439-443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en-US" w:bidi="en-US" w:eastAsia="en-US"/>
        </w:rPr>
        <w:t xml:space="preserve"> Copies are at no cost a</w:t>
      </w:r>
      <w:r>
        <w:rPr>
          <w:rFonts w:ascii="Times New Roman" w:hAnsi="Times New Roman"/>
          <w:sz w:val="24"/>
          <w:lang w:val="en-US" w:bidi="en-US" w:eastAsia="en-US"/>
        </w:rPr>
        <w:t xml:space="preserve">t </w:t>
      </w:r>
      <w:hyperlink xmlns:r="http://schemas.openxmlformats.org/officeDocument/2006/relationships" r:id="R2">
        <w:r>
          <w:rPr>
            <w:rStyle w:val="C2"/>
            <w:rFonts w:ascii="Times New Roman" w:hAnsi="Times New Roman"/>
            <w:sz w:val="24"/>
            <w:lang w:val="en-US" w:bidi="en-US" w:eastAsia="en-US"/>
          </w:rPr>
          <w:t>https://www.cdc.gov/mmwr/volumes/68/wr/mm6819a3.htm</w:t>
        </w:r>
      </w:hyperlink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www.cdc.gov/mmwr/volumes/68/wr/mm6819a3.htm" TargetMode="Externa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Purkapile, Rhonda</dc:creator>
  <dcterms:created xsi:type="dcterms:W3CDTF">2015-10-09T21:59:00Z</dcterms:created>
  <cp:lastModifiedBy>Kelly Thompson</cp:lastModifiedBy>
  <dcterms:modified xsi:type="dcterms:W3CDTF">2023-11-22T16:12:31Z</dcterms:modified>
  <cp:revision>5</cp:revision>
</cp:coreProperties>
</file>