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rPr>
          <w:rFonts w:ascii="Times New Roman" w:hAnsi="Times New Roman"/>
          <w:sz w:val="24"/>
        </w:rPr>
      </w:pPr>
      <w:bookmarkStart w:id="0" w:name="_GoBack"/>
      <w:bookmarkEnd w:id="0"/>
      <w:r>
        <w:rPr>
          <w:rFonts w:ascii="Times New Roman" w:hAnsi="Times New Roman"/>
          <w:sz w:val="24"/>
        </w:rPr>
        <w:tab/>
      </w:r>
      <w:r>
        <w:rPr>
          <w:rFonts w:ascii="Times New Roman" w:hAnsi="Times New Roman"/>
          <w:b w:val="1"/>
          <w:sz w:val="24"/>
        </w:rPr>
        <w:t>44:75:09:06.  Retention of medical records.</w:t>
      </w:r>
      <w:r>
        <w:rPr>
          <w:rFonts w:ascii="Times New Roman" w:hAnsi="Times New Roman"/>
          <w:sz w:val="24"/>
        </w:rPr>
        <w:t xml:space="preserve"> A facility shall retain medical records for a minimum of ten years from the actual visit date of service or patient care. The retention of the record for ten years is not affected by additional and future visit dates. Records of minors </w:t>
      </w:r>
      <w:r>
        <w:rPr>
          <w:rFonts w:ascii="Times New Roman" w:hAnsi="Times New Roman"/>
          <w:sz w:val="24"/>
          <w:lang w:val="en-US" w:bidi="en-US" w:eastAsia="en-US"/>
        </w:rPr>
        <w:t>must</w:t>
      </w:r>
      <w:r>
        <w:rPr>
          <w:rFonts w:ascii="Times New Roman" w:hAnsi="Times New Roman"/>
          <w:sz w:val="24"/>
        </w:rPr>
        <w:t xml:space="preserve"> be retained until the minor reaches the age of </w:t>
      </w:r>
      <w:r>
        <w:rPr>
          <w:rFonts w:ascii="Times New Roman" w:hAnsi="Times New Roman"/>
          <w:sz w:val="24"/>
          <w:lang w:val="en-US" w:bidi="en-US" w:eastAsia="en-US"/>
        </w:rPr>
        <w:t>eighteen</w:t>
      </w:r>
      <w:r>
        <w:rPr>
          <w:rFonts w:ascii="Times New Roman" w:hAnsi="Times New Roman"/>
          <w:sz w:val="24"/>
        </w:rPr>
        <w:t xml:space="preserve"> plus an additional two years, but no less than ten years from the actual visit date of service or patient care.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42 SDR 51, effective October 13, 2015</w:t>
      </w:r>
      <w:r>
        <w:rPr>
          <w:rFonts w:ascii="Times New Roman" w:hAnsi="Times New Roman"/>
          <w:sz w:val="24"/>
          <w:lang w:val="en-US" w:bidi="en-US" w:eastAsia="en-US"/>
        </w:rPr>
        <w:t>; 50 SDR 62, effective November 27, 2023</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34-12-13(10).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34-12-13</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Cross-Reference:</w:t>
      </w:r>
      <w:r>
        <w:rPr>
          <w:rFonts w:ascii="Times New Roman" w:hAnsi="Times New Roman"/>
          <w:sz w:val="24"/>
        </w:rPr>
        <w:t xml:space="preserve"> Storage of medical records, § 44:75:09:07.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rPr>
          <w:rFonts w:ascii="Times New Roman" w:hAnsi="Times New Roman"/>
          <w:sz w:val="24"/>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splitPgBreakAndParaMark/>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Purkapile, Rhonda</dc:creator>
  <dcterms:created xsi:type="dcterms:W3CDTF">2015-10-09T22:52:00Z</dcterms:created>
  <cp:lastModifiedBy>Kelly Thompson</cp:lastModifiedBy>
  <dcterms:modified xsi:type="dcterms:W3CDTF">2023-11-20T23:00:05Z</dcterms:modified>
  <cp:revision>3</cp:revision>
</cp:coreProperties>
</file>