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1D662E">
        <w:rPr>
          <w:rFonts w:ascii="Times New Roman" w:hAnsi="Times New Roman"/>
          <w:sz w:val="24"/>
        </w:rPr>
        <w:tab/>
      </w:r>
      <w:r w:rsidRPr="0013662E">
        <w:rPr>
          <w:rFonts w:ascii="Times New Roman" w:hAnsi="Times New Roman"/>
          <w:b/>
          <w:sz w:val="24"/>
        </w:rPr>
        <w:t>44:75:11:13.</w:t>
      </w:r>
      <w:r>
        <w:rPr>
          <w:rFonts w:ascii="Times New Roman" w:hAnsi="Times New Roman"/>
          <w:b/>
          <w:sz w:val="24"/>
        </w:rPr>
        <w:t>  </w:t>
      </w:r>
      <w:r w:rsidRPr="0013662E">
        <w:rPr>
          <w:rFonts w:ascii="Times New Roman" w:hAnsi="Times New Roman"/>
          <w:b/>
          <w:sz w:val="24"/>
        </w:rPr>
        <w:t>Patient care requirements for swing-bed services.</w:t>
      </w:r>
      <w:r w:rsidRPr="001D662E">
        <w:rPr>
          <w:rFonts w:ascii="Times New Roman" w:hAnsi="Times New Roman"/>
          <w:sz w:val="24"/>
        </w:rPr>
        <w:t xml:space="preserve"> Hospital and critical access hospital swing-bed services shall provide nursing and related care services to meet patients' care needs at all times. Patient care services shall include at least the following:</w:t>
      </w: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1D662E"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</w:rPr>
        <w:t>  </w:t>
      </w:r>
      <w:r w:rsidRPr="001D662E">
        <w:rPr>
          <w:rFonts w:ascii="Times New Roman" w:hAnsi="Times New Roman"/>
          <w:sz w:val="24"/>
        </w:rPr>
        <w:t>Patient rights as stated in chapter 44:75:15;</w:t>
      </w: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1D662E"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</w:rPr>
        <w:t>  </w:t>
      </w:r>
      <w:r w:rsidRPr="001D662E">
        <w:rPr>
          <w:rFonts w:ascii="Times New Roman" w:hAnsi="Times New Roman"/>
          <w:sz w:val="24"/>
        </w:rPr>
        <w:t>Specialized rehabilitative services needed by patients to improve and maintain functioning. Specialized rehabilitative services may include physical therapy, speech pathology and audiology, and occupational therapy; and the services shall be provided by the hospital or arranged for by written agreement with qualified personnel;</w:t>
      </w: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1D662E"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</w:rPr>
        <w:t>  </w:t>
      </w:r>
      <w:r w:rsidRPr="001D662E">
        <w:rPr>
          <w:rFonts w:ascii="Times New Roman" w:hAnsi="Times New Roman"/>
          <w:sz w:val="24"/>
        </w:rPr>
        <w:t>Dental services for routine and emergency dental care;</w:t>
      </w: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</w:t>
      </w:r>
      <w:r w:rsidRPr="001D662E">
        <w:rPr>
          <w:rFonts w:ascii="Times New Roman" w:hAnsi="Times New Roman"/>
          <w:sz w:val="24"/>
        </w:rPr>
        <w:t>Social services as stated in §</w:t>
      </w:r>
      <w:r>
        <w:rPr>
          <w:rFonts w:ascii="Times New Roman" w:hAnsi="Times New Roman"/>
          <w:sz w:val="24"/>
        </w:rPr>
        <w:t> </w:t>
      </w:r>
      <w:r w:rsidRPr="001D662E">
        <w:rPr>
          <w:rFonts w:ascii="Times New Roman" w:hAnsi="Times New Roman"/>
          <w:sz w:val="24"/>
        </w:rPr>
        <w:t>44:73:10:04;</w:t>
      </w: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1D662E"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</w:rPr>
        <w:t>  </w:t>
      </w:r>
      <w:r w:rsidRPr="001D662E">
        <w:rPr>
          <w:rFonts w:ascii="Times New Roman" w:hAnsi="Times New Roman"/>
          <w:sz w:val="24"/>
        </w:rPr>
        <w:t>Patient activities as stated in §</w:t>
      </w:r>
      <w:r>
        <w:rPr>
          <w:rFonts w:ascii="Times New Roman" w:hAnsi="Times New Roman"/>
          <w:sz w:val="24"/>
        </w:rPr>
        <w:t> </w:t>
      </w:r>
      <w:r w:rsidRPr="001D662E">
        <w:rPr>
          <w:rFonts w:ascii="Times New Roman" w:hAnsi="Times New Roman"/>
          <w:sz w:val="24"/>
        </w:rPr>
        <w:t>44:73:10:02;</w:t>
      </w: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1D662E"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</w:rPr>
        <w:t>  </w:t>
      </w:r>
      <w:r w:rsidRPr="001D662E">
        <w:rPr>
          <w:rFonts w:ascii="Times New Roman" w:hAnsi="Times New Roman"/>
          <w:sz w:val="24"/>
        </w:rPr>
        <w:t>Discharge planning services to ensure that patients have a planned program of continuing care which meets post-discharge needs. The hospital shall have written policies for the discharge planning process and shall comply with §</w:t>
      </w:r>
      <w:r>
        <w:rPr>
          <w:rFonts w:ascii="Times New Roman" w:hAnsi="Times New Roman"/>
          <w:sz w:val="24"/>
        </w:rPr>
        <w:t> </w:t>
      </w:r>
      <w:r w:rsidRPr="001D662E">
        <w:rPr>
          <w:rFonts w:ascii="Times New Roman" w:hAnsi="Times New Roman"/>
          <w:sz w:val="24"/>
        </w:rPr>
        <w:t>44:73:04:18; and</w:t>
      </w: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1D662E">
        <w:rPr>
          <w:rFonts w:ascii="Times New Roman" w:hAnsi="Times New Roman"/>
          <w:sz w:val="24"/>
        </w:rPr>
        <w:tab/>
        <w:t>(7)</w:t>
      </w:r>
      <w:r>
        <w:rPr>
          <w:rFonts w:ascii="Times New Roman" w:hAnsi="Times New Roman"/>
          <w:sz w:val="24"/>
        </w:rPr>
        <w:t>  </w:t>
      </w:r>
      <w:r w:rsidRPr="001D662E">
        <w:rPr>
          <w:rFonts w:ascii="Times New Roman" w:hAnsi="Times New Roman"/>
          <w:sz w:val="24"/>
        </w:rPr>
        <w:t>Comprehensive assessment to assist with the development of a comprehensive care plan.</w:t>
      </w: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1D662E">
        <w:rPr>
          <w:rFonts w:ascii="Times New Roman" w:hAnsi="Times New Roman"/>
          <w:sz w:val="24"/>
        </w:rPr>
        <w:tab/>
      </w:r>
      <w:r w:rsidRPr="003B00B0">
        <w:rPr>
          <w:rFonts w:ascii="Times New Roman" w:hAnsi="Times New Roman"/>
          <w:b/>
          <w:sz w:val="24"/>
        </w:rPr>
        <w:t>Source:</w:t>
      </w:r>
      <w:r w:rsidRPr="001D662E">
        <w:rPr>
          <w:rFonts w:ascii="Times New Roman" w:hAnsi="Times New Roman"/>
          <w:sz w:val="24"/>
        </w:rPr>
        <w:t xml:space="preserve"> 14 SDR 81, effective December 10, 1987; 19 SDR 95, effective January 7, 1993; 22 SDR 70, effective November 19, 1995; 29 SDR 81, effective December 11, 2002; 32 SDR 128, effective January 30, 2006; transferred from § 44:04:11:12</w:t>
      </w:r>
      <w:r>
        <w:rPr>
          <w:rFonts w:ascii="Times New Roman" w:hAnsi="Times New Roman"/>
          <w:sz w:val="24"/>
        </w:rPr>
        <w:t>, 42 SDR 51, effective October 13, 2015.</w:t>
      </w: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1D662E">
        <w:rPr>
          <w:rFonts w:ascii="Times New Roman" w:hAnsi="Times New Roman"/>
          <w:sz w:val="24"/>
        </w:rPr>
        <w:tab/>
      </w:r>
      <w:r w:rsidRPr="003B00B0">
        <w:rPr>
          <w:rFonts w:ascii="Times New Roman" w:hAnsi="Times New Roman"/>
          <w:b/>
          <w:sz w:val="24"/>
        </w:rPr>
        <w:t>General Authority:</w:t>
      </w:r>
      <w:r w:rsidRPr="001D662E">
        <w:rPr>
          <w:rFonts w:ascii="Times New Roman" w:hAnsi="Times New Roman"/>
          <w:sz w:val="24"/>
        </w:rPr>
        <w:t xml:space="preserve"> SDCL 34-12-13(12).</w:t>
      </w: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1D662E">
        <w:rPr>
          <w:rFonts w:ascii="Times New Roman" w:hAnsi="Times New Roman"/>
          <w:sz w:val="24"/>
        </w:rPr>
        <w:tab/>
      </w:r>
      <w:r w:rsidRPr="003B00B0">
        <w:rPr>
          <w:rFonts w:ascii="Times New Roman" w:hAnsi="Times New Roman"/>
          <w:b/>
          <w:sz w:val="24"/>
        </w:rPr>
        <w:t>Law Implemented:</w:t>
      </w:r>
      <w:r w:rsidRPr="001D662E">
        <w:rPr>
          <w:rFonts w:ascii="Times New Roman" w:hAnsi="Times New Roman"/>
          <w:sz w:val="24"/>
        </w:rPr>
        <w:t xml:space="preserve"> SDCL 34-12-13(12).</w:t>
      </w:r>
    </w:p>
    <w:p w:rsidR="003653C4" w:rsidRPr="001D662E" w:rsidRDefault="003653C4" w:rsidP="00266D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3653C4" w:rsidRPr="001D662E" w:rsidSect="003653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66DA4"/>
    <w:rsid w:val="0013662E"/>
    <w:rsid w:val="001D662E"/>
    <w:rsid w:val="00266DA4"/>
    <w:rsid w:val="003653C4"/>
    <w:rsid w:val="003B00B0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DA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228</Words>
  <Characters>1303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2015-10-10T20:07:00Z</dcterms:created>
  <dcterms:modified xsi:type="dcterms:W3CDTF">2015-10-10T20:07:00Z</dcterms:modified>
</cp:coreProperties>
</file>