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1621" w:rsidRPr="00AB703D" w:rsidRDefault="007F1621" w:rsidP="00BF6A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B728DD">
        <w:rPr>
          <w:rFonts w:ascii="Times New Roman" w:hAnsi="Times New Roman"/>
          <w:b/>
          <w:sz w:val="24"/>
        </w:rPr>
        <w:t>44:76:11:25.</w:t>
      </w:r>
      <w:r>
        <w:rPr>
          <w:rFonts w:ascii="Times New Roman" w:hAnsi="Times New Roman"/>
          <w:b/>
          <w:sz w:val="24"/>
        </w:rPr>
        <w:t>  </w:t>
      </w:r>
      <w:r w:rsidRPr="00B728DD">
        <w:rPr>
          <w:rFonts w:ascii="Times New Roman" w:hAnsi="Times New Roman"/>
          <w:b/>
          <w:sz w:val="24"/>
        </w:rPr>
        <w:t>Vacuum breakers.</w:t>
      </w:r>
      <w:r w:rsidRPr="00AB703D">
        <w:rPr>
          <w:rFonts w:ascii="Times New Roman" w:hAnsi="Times New Roman"/>
          <w:sz w:val="24"/>
        </w:rPr>
        <w:t xml:space="preserve"> An antisiphon device or backflow preventer shall be installed on hose bibs and on all fixtures to which hoses or tubing can be attached such as laboratory and janitors' sinks, bedpan flushing attachments, and handheld showers. An antisiphon device or backflow preventer shall be installed on all plumbing and equipment where any possibility exists for contamination of the potable water supply.</w:t>
      </w:r>
    </w:p>
    <w:p w:rsidR="007F1621" w:rsidRPr="00AB703D" w:rsidRDefault="007F1621" w:rsidP="00BF6A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7F1621" w:rsidRPr="00AB703D" w:rsidRDefault="007F1621" w:rsidP="00BF6A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7F1621" w:rsidRPr="00AB703D" w:rsidRDefault="007F1621" w:rsidP="00BF6A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General Authority:</w:t>
      </w:r>
      <w:r w:rsidRPr="00AB703D">
        <w:rPr>
          <w:rFonts w:ascii="Times New Roman" w:hAnsi="Times New Roman"/>
          <w:sz w:val="24"/>
        </w:rPr>
        <w:t xml:space="preserve"> SDCL 34-12-13(1), (4), and (14).</w:t>
      </w:r>
    </w:p>
    <w:p w:rsidR="007F1621" w:rsidRPr="00AB703D" w:rsidRDefault="007F1621" w:rsidP="00BF6A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Law Implemented:</w:t>
      </w:r>
      <w:r w:rsidRPr="00AB703D">
        <w:rPr>
          <w:rFonts w:ascii="Times New Roman" w:hAnsi="Times New Roman"/>
          <w:sz w:val="24"/>
        </w:rPr>
        <w:t xml:space="preserve"> SDCL 34-12-13(1), (4), and (14).</w:t>
      </w:r>
    </w:p>
    <w:p w:rsidR="007F1621" w:rsidRPr="00AB703D" w:rsidRDefault="007F1621" w:rsidP="00BF6A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7F1621" w:rsidRPr="00AB703D" w:rsidSect="007F162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F6A0F"/>
    <w:rsid w:val="007F1621"/>
    <w:rsid w:val="00AB703D"/>
    <w:rsid w:val="00AE662A"/>
    <w:rsid w:val="00B728DD"/>
    <w:rsid w:val="00BF6A0F"/>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6A0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86</Words>
  <Characters>495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2015-10-10T23:07:00Z</dcterms:created>
  <dcterms:modified xsi:type="dcterms:W3CDTF">2015-10-10T23:08:00Z</dcterms:modified>
</cp:coreProperties>
</file>