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728DD">
        <w:rPr>
          <w:rFonts w:ascii="Times New Roman" w:hAnsi="Times New Roman"/>
          <w:b/>
          <w:sz w:val="24"/>
        </w:rPr>
        <w:t>44:76:11:29.</w:t>
      </w:r>
      <w:r>
        <w:rPr>
          <w:rFonts w:ascii="Times New Roman" w:hAnsi="Times New Roman"/>
          <w:b/>
          <w:sz w:val="24"/>
        </w:rPr>
        <w:t>  </w:t>
      </w:r>
      <w:r w:rsidRPr="00B728DD">
        <w:rPr>
          <w:rFonts w:ascii="Times New Roman" w:hAnsi="Times New Roman"/>
          <w:b/>
          <w:sz w:val="24"/>
        </w:rPr>
        <w:t>Lighting.</w:t>
      </w:r>
      <w:r w:rsidRPr="00AB703D">
        <w:rPr>
          <w:rFonts w:ascii="Times New Roman" w:hAnsi="Times New Roman"/>
          <w:sz w:val="24"/>
        </w:rPr>
        <w:t xml:space="preserve"> Any space occupied by people, machinery, or equipment within buildings, the approaches to the buildings, and parking lots shall have artificial lighting approved by the department. Each patient treatment room shall have general lighting of at least ten footcandles (0.929 lumens per square meter). If task illumination is required, a light with an intensity of at least 30 footcandles (2.79 lumens per square meter) at the work surface shall be provided for each patient. Any fixed light not switched at the door shall have a switch control convenient for use at the luminaire. Each switch for control of lighting in a patient area shall be of the quiet operating type. Illumination of at least 100 footcandles (9.29 lumens per square meter) shall be provided at the medication set-up area. Illumination of at least 30 footcandles (2.79 lumens per square meter) shall be provided in each physical and restorative therapy area, and at any bathing facility.</w:t>
      </w:r>
    </w:p>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General Authority:</w:t>
      </w:r>
      <w:r w:rsidRPr="00AB703D">
        <w:rPr>
          <w:rFonts w:ascii="Times New Roman" w:hAnsi="Times New Roman"/>
          <w:sz w:val="24"/>
        </w:rPr>
        <w:t xml:space="preserve"> SDCL 34-12-13(3).</w:t>
      </w:r>
    </w:p>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Law Implemented:</w:t>
      </w:r>
      <w:r w:rsidRPr="00AB703D">
        <w:rPr>
          <w:rFonts w:ascii="Times New Roman" w:hAnsi="Times New Roman"/>
          <w:sz w:val="24"/>
        </w:rPr>
        <w:t xml:space="preserve"> SDCL 34-12-13(3).</w:t>
      </w:r>
    </w:p>
    <w:p w:rsidR="0096116E" w:rsidRPr="00AB703D" w:rsidRDefault="0096116E" w:rsidP="00501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6116E" w:rsidRPr="00AB703D" w:rsidSect="0096116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01F24"/>
    <w:rsid w:val="00501F24"/>
    <w:rsid w:val="0096116E"/>
    <w:rsid w:val="00AB703D"/>
    <w:rsid w:val="00AE662A"/>
    <w:rsid w:val="00B728DD"/>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1F2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164</Words>
  <Characters>941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2015-10-10T23:10:00Z</dcterms:created>
  <dcterms:modified xsi:type="dcterms:W3CDTF">2015-10-10T23:10:00Z</dcterms:modified>
</cp:coreProperties>
</file>