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0E1C" w:rsidRPr="00AB703D" w:rsidRDefault="00880E1C" w:rsidP="004B0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2A73BD">
        <w:rPr>
          <w:rFonts w:ascii="Times New Roman" w:hAnsi="Times New Roman"/>
          <w:b/>
          <w:sz w:val="24"/>
        </w:rPr>
        <w:t>44:76:12:02.</w:t>
      </w:r>
      <w:r>
        <w:rPr>
          <w:rFonts w:ascii="Times New Roman" w:hAnsi="Times New Roman"/>
          <w:b/>
          <w:sz w:val="24"/>
        </w:rPr>
        <w:t>  </w:t>
      </w:r>
      <w:r w:rsidRPr="002A73BD">
        <w:rPr>
          <w:rFonts w:ascii="Times New Roman" w:hAnsi="Times New Roman"/>
          <w:b/>
          <w:sz w:val="24"/>
        </w:rPr>
        <w:t>Surgical suites.</w:t>
      </w:r>
      <w:r w:rsidRPr="00AB703D">
        <w:rPr>
          <w:rFonts w:ascii="Times New Roman" w:hAnsi="Times New Roman"/>
          <w:sz w:val="24"/>
        </w:rPr>
        <w:t xml:space="preserve"> The number of operating rooms shall be based on the expected surgical workload. The surgical suite shall be located to prevent through traffic. A recovery room with charting space, medication storage and preparation space, and a clinical sink is required.</w:t>
      </w:r>
    </w:p>
    <w:p w:rsidR="00880E1C" w:rsidRPr="00AB703D" w:rsidRDefault="00880E1C" w:rsidP="004B0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880E1C" w:rsidRPr="00AB703D" w:rsidRDefault="00880E1C" w:rsidP="004B0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73BD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880E1C" w:rsidRPr="00AB703D" w:rsidRDefault="00880E1C" w:rsidP="004B0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73BD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34-12-13(1), (3), and (4).</w:t>
      </w:r>
    </w:p>
    <w:p w:rsidR="00880E1C" w:rsidRPr="00AB703D" w:rsidRDefault="00880E1C" w:rsidP="004B0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2A73BD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34-12-13(1), (3), and (4).</w:t>
      </w:r>
    </w:p>
    <w:p w:rsidR="00880E1C" w:rsidRPr="00AB703D" w:rsidRDefault="00880E1C" w:rsidP="004B01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880E1C" w:rsidRPr="00AB703D" w:rsidSect="00880E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01DB"/>
    <w:rsid w:val="002A73BD"/>
    <w:rsid w:val="004B01DB"/>
    <w:rsid w:val="00880E1C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01D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2015-10-13T13:58:00Z</dcterms:created>
  <dcterms:modified xsi:type="dcterms:W3CDTF">2015-10-13T13:58:00Z</dcterms:modified>
</cp:coreProperties>
</file>