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C43139">
        <w:rPr>
          <w:rFonts w:ascii="Times New Roman" w:hAnsi="Times New Roman"/>
          <w:b/>
          <w:sz w:val="24"/>
        </w:rPr>
        <w:t>44:79:04:04.</w:t>
      </w:r>
      <w:r>
        <w:rPr>
          <w:rFonts w:ascii="Times New Roman" w:hAnsi="Times New Roman"/>
          <w:b/>
          <w:sz w:val="24"/>
        </w:rPr>
        <w:t>  </w:t>
      </w:r>
      <w:r w:rsidRPr="00C43139">
        <w:rPr>
          <w:rFonts w:ascii="Times New Roman" w:hAnsi="Times New Roman"/>
          <w:b/>
          <w:sz w:val="24"/>
        </w:rPr>
        <w:t>Personnel training.</w:t>
      </w:r>
      <w:r w:rsidRPr="004C3A7D">
        <w:rPr>
          <w:rFonts w:ascii="Times New Roman" w:hAnsi="Times New Roman"/>
          <w:sz w:val="24"/>
        </w:rPr>
        <w:t xml:space="preserve"> The hospice shall have a formal orientation program and an ongoing education program for all personnel. Ongoing education programs shall cover the required subjects annually. These programs shall include the following subjects: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Fire prevention and response. The hospice shall conduct fire drills quarterly for each shift to train all staff. Silent or code announcement drills may be conducted;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(2)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Emergency procedures and preparedness;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(3)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Infection control and prevention;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(4)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Accident prevention and safety procedures;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(5)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Proper use of restraints;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(6)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Patient rights;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(7)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Hospice philosophy and death &amp; dying;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(8)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Confidentiality of patient information;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(9)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Incidents and diseases subject to mandatory reporting and the hospices reporting mechanisms;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(10)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Care of patients with special or unique needs; and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(11)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Dining assistance, nutritional risks, and hydration needs of patients.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Any personnel whom the hospice determines will have no contact with patients are exempt from training required by subdivisions (5), (7), (9), (10) and (11) of this section.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Additional personnel education shall be based on hospice identified needs.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Current professional and technical reference books and periodicals shall be made available for personnel.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87A81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987A81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34-12-13(5).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987A81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34-12-13(5).</w:t>
      </w:r>
    </w:p>
    <w:p w:rsidR="00B74D75" w:rsidRPr="004C3A7D" w:rsidRDefault="00B74D75" w:rsidP="00111A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B74D75" w:rsidRPr="004C3A7D" w:rsidSect="00B74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A01"/>
    <w:rsid w:val="00111A01"/>
    <w:rsid w:val="004C3A7D"/>
    <w:rsid w:val="00987A81"/>
    <w:rsid w:val="00AE662A"/>
    <w:rsid w:val="00B74D75"/>
    <w:rsid w:val="00C43139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01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215</Words>
  <Characters>1228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2015-10-13T17:05:00Z</dcterms:created>
  <dcterms:modified xsi:type="dcterms:W3CDTF">2015-10-13T17:05:00Z</dcterms:modified>
</cp:coreProperties>
</file>