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CF8" w:rsidRPr="004C3A7D" w:rsidRDefault="00216CF8" w:rsidP="004841D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bookmarkStart w:id="0" w:name="_GoBack"/>
      <w:bookmarkEnd w:id="0"/>
      <w:r w:rsidRPr="004C3A7D">
        <w:rPr>
          <w:rFonts w:ascii="Times New Roman" w:hAnsi="Times New Roman"/>
          <w:sz w:val="24"/>
        </w:rPr>
        <w:tab/>
      </w:r>
      <w:r w:rsidRPr="00592F22">
        <w:rPr>
          <w:rFonts w:ascii="Times New Roman" w:hAnsi="Times New Roman"/>
          <w:b/>
          <w:sz w:val="24"/>
        </w:rPr>
        <w:t>44:79:10:04.</w:t>
      </w:r>
      <w:r>
        <w:rPr>
          <w:rFonts w:ascii="Times New Roman" w:hAnsi="Times New Roman"/>
          <w:b/>
          <w:sz w:val="24"/>
        </w:rPr>
        <w:t>  </w:t>
      </w:r>
      <w:r w:rsidRPr="00592F22">
        <w:rPr>
          <w:rFonts w:ascii="Times New Roman" w:hAnsi="Times New Roman"/>
          <w:b/>
          <w:sz w:val="24"/>
        </w:rPr>
        <w:t>Storage rooms.</w:t>
      </w:r>
      <w:r w:rsidRPr="004C3A7D">
        <w:rPr>
          <w:rFonts w:ascii="Times New Roman" w:hAnsi="Times New Roman"/>
          <w:sz w:val="24"/>
        </w:rPr>
        <w:t xml:space="preserve"> There shall be at least 10 square feet (0.929 square meters) of central storage provided for each bed. General storage shall be concentrated in one area in the facility, but up to 50 percent of the general storage space may be provided on the premises.</w:t>
      </w:r>
    </w:p>
    <w:p w:rsidR="00216CF8" w:rsidRPr="004C3A7D" w:rsidRDefault="00216CF8" w:rsidP="004841D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216CF8" w:rsidRPr="004C3A7D" w:rsidRDefault="00216CF8" w:rsidP="004841D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r>
      <w:r w:rsidRPr="00592F22">
        <w:rPr>
          <w:rFonts w:ascii="Times New Roman" w:hAnsi="Times New Roman"/>
          <w:b/>
          <w:sz w:val="24"/>
        </w:rPr>
        <w:t>Source:</w:t>
      </w:r>
      <w:r>
        <w:rPr>
          <w:rFonts w:ascii="Times New Roman" w:hAnsi="Times New Roman"/>
          <w:sz w:val="24"/>
        </w:rPr>
        <w:t xml:space="preserve"> 42 SDR 51, effective October 13, 2015.</w:t>
      </w:r>
    </w:p>
    <w:p w:rsidR="00216CF8" w:rsidRPr="004C3A7D" w:rsidRDefault="00216CF8" w:rsidP="004841D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4C3A7D">
        <w:rPr>
          <w:rFonts w:ascii="Times New Roman" w:hAnsi="Times New Roman"/>
          <w:sz w:val="24"/>
        </w:rPr>
        <w:tab/>
      </w:r>
      <w:r w:rsidRPr="00592F22">
        <w:rPr>
          <w:rFonts w:ascii="Times New Roman" w:hAnsi="Times New Roman"/>
          <w:b/>
          <w:sz w:val="24"/>
        </w:rPr>
        <w:t>General Authority:</w:t>
      </w:r>
      <w:r w:rsidRPr="004C3A7D">
        <w:rPr>
          <w:rFonts w:ascii="Times New Roman" w:hAnsi="Times New Roman"/>
          <w:sz w:val="24"/>
        </w:rPr>
        <w:t xml:space="preserve"> SDCL 34-12-13(3).</w:t>
      </w:r>
    </w:p>
    <w:p w:rsidR="00216CF8" w:rsidRPr="004C3A7D" w:rsidRDefault="00216CF8" w:rsidP="004841D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4C3A7D">
        <w:rPr>
          <w:rFonts w:ascii="Times New Roman" w:hAnsi="Times New Roman"/>
          <w:sz w:val="24"/>
        </w:rPr>
        <w:tab/>
      </w:r>
      <w:r w:rsidRPr="00592F22">
        <w:rPr>
          <w:rFonts w:ascii="Times New Roman" w:hAnsi="Times New Roman"/>
          <w:b/>
          <w:sz w:val="24"/>
        </w:rPr>
        <w:t>Law Implemented:</w:t>
      </w:r>
      <w:r w:rsidRPr="004C3A7D">
        <w:rPr>
          <w:rFonts w:ascii="Times New Roman" w:hAnsi="Times New Roman"/>
          <w:sz w:val="24"/>
        </w:rPr>
        <w:t xml:space="preserve"> SDCL 34-12-13(3).</w:t>
      </w:r>
    </w:p>
    <w:p w:rsidR="00216CF8" w:rsidRPr="004C3A7D" w:rsidRDefault="00216CF8" w:rsidP="004841D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sectPr w:rsidR="00216CF8" w:rsidRPr="004C3A7D" w:rsidSect="00216C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841DC"/>
    <w:rsid w:val="00216CF8"/>
    <w:rsid w:val="004841DC"/>
    <w:rsid w:val="004C3A7D"/>
    <w:rsid w:val="00592F22"/>
    <w:rsid w:val="00AE662A"/>
    <w:rsid w:val="00CD5A25"/>
    <w:rsid w:val="00FD3C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1DC"/>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60</Words>
  <Characters>347</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Purkapile, Rhonda</dc:creator>
  <cp:keywords/>
  <dc:description/>
  <cp:lastModifiedBy>Purkapile, Rhonda</cp:lastModifiedBy>
  <cp:revision>1</cp:revision>
  <dcterms:created xsi:type="dcterms:W3CDTF">2015-10-13T17:43:00Z</dcterms:created>
  <dcterms:modified xsi:type="dcterms:W3CDTF">2015-10-13T17:43:00Z</dcterms:modified>
</cp:coreProperties>
</file>