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4C3A7D">
        <w:rPr>
          <w:rFonts w:ascii="Times New Roman" w:hAnsi="Times New Roman"/>
          <w:sz w:val="24"/>
        </w:rPr>
        <w:tab/>
      </w:r>
      <w:r w:rsidRPr="003A31B2">
        <w:rPr>
          <w:rFonts w:ascii="Times New Roman" w:hAnsi="Times New Roman"/>
          <w:b/>
          <w:sz w:val="24"/>
        </w:rPr>
        <w:t>44:79:10:16.</w:t>
      </w:r>
      <w:r>
        <w:rPr>
          <w:rFonts w:ascii="Times New Roman" w:hAnsi="Times New Roman"/>
          <w:b/>
          <w:sz w:val="24"/>
        </w:rPr>
        <w:t>  </w:t>
      </w:r>
      <w:r w:rsidRPr="003A31B2">
        <w:rPr>
          <w:rFonts w:ascii="Times New Roman" w:hAnsi="Times New Roman"/>
          <w:b/>
          <w:sz w:val="24"/>
        </w:rPr>
        <w:t>Ventilating systems.</w:t>
      </w:r>
      <w:r w:rsidRPr="004C3A7D">
        <w:rPr>
          <w:rFonts w:ascii="Times New Roman" w:hAnsi="Times New Roman"/>
          <w:sz w:val="24"/>
        </w:rPr>
        <w:t xml:space="preserve"> The ventilating systems shall maintain temperatures total air changes as follows:</w:t>
      </w: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t>(1)</w:t>
      </w:r>
      <w:r>
        <w:rPr>
          <w:rFonts w:ascii="Times New Roman" w:hAnsi="Times New Roman"/>
          <w:sz w:val="24"/>
        </w:rPr>
        <w:t>  </w:t>
      </w:r>
      <w:r w:rsidRPr="004C3A7D">
        <w:rPr>
          <w:rFonts w:ascii="Times New Roman" w:hAnsi="Times New Roman"/>
          <w:sz w:val="24"/>
        </w:rPr>
        <w:t>For all other occupied areas, the facility shall be able to maintain a minimum temperature of 75 degrees Fahrenheit (23.9 degrees centigrade) at winter design conditions with a minimum of at least two total air changes an hour. All air supply and air exhaust systems shall be mechanically operated. All fans serving exhaust systems shall be located at the discharge end of the system. Each mechanical ventilation systems shall be designed and balanced to provide make-up air and safe pressure relationships between adjacent areas to preclude the spread of infections and assure the health of the occupants. A corridor may not be used to supply air to or exhaust air from any room, except that exhaust air from corridors may be used to ventilate bathrooms, toilet rooms, or janitor's closets opening directly on corridors. Continuous mechanical exhaust ventilation shall be provided in all soiled areas, wet areas, and storage rooms. In unoccupied service areas, ventilation may be reduced or discontinued when the health and comfort of the occupants are not compromised.</w:t>
      </w: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w:t>
      </w:r>
      <w:r w:rsidRPr="004C3A7D">
        <w:rPr>
          <w:rFonts w:ascii="Times New Roman" w:hAnsi="Times New Roman"/>
          <w:sz w:val="24"/>
        </w:rPr>
        <w:t>Each cooking appliances, other than microwave ovens, shall be provided with exhaust ventilation to the exterior of the building to remove cooking odors, heat, and moisture.</w:t>
      </w: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w:t>
      </w:r>
      <w:r w:rsidRPr="004C3A7D">
        <w:rPr>
          <w:rFonts w:ascii="Times New Roman" w:hAnsi="Times New Roman"/>
          <w:sz w:val="24"/>
        </w:rPr>
        <w:t>Each vehicle parking garage shall be provided with carbon monoxide detection to activate exhaust ventilation of six air changes each hour or to open the garage door if the area of the garage is under 1000 square feet. A sign shall be posted at the front of each parking space advising the driver to shut off the engine.</w:t>
      </w: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(4)  </w:t>
      </w:r>
      <w:r w:rsidRPr="004C3A7D">
        <w:rPr>
          <w:rFonts w:ascii="Times New Roman" w:hAnsi="Times New Roman"/>
          <w:sz w:val="24"/>
        </w:rPr>
        <w:t>Each crawl space shall be provided with mechanical ventilation at least 0.5 air changes each day or be provided with open perimeter venting as required by the International Building Code.</w:t>
      </w: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t>A ventilation system using a recirculated central air system shall be equipped with a minimum of two filter beds. Filter bed number one shall be located upstream of the conditioning equipment and shall have a minimum efficiency of 30 percent. Each supply air unit shall have a minimum of 30 percent effective filters. These filter efficiencies shall be warranted by the manufacturer and shall be based on the ASHRAE 52.2, 2007 edition, American Society of Heating, Refrigeration, and Air Conditioning Engineers dust spot test method with atmospheric dust. Each filter frame shall be durable and carefully dimensioned and shall provide an airtight fit with the enclosing duct work. Each joint between filter segments and the enclosing duct work shall contain a gasket or sealed to provide a positive seal against air leakage.</w:t>
      </w: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3A31B2">
        <w:rPr>
          <w:rFonts w:ascii="Times New Roman" w:hAnsi="Times New Roman"/>
          <w:b/>
          <w:sz w:val="24"/>
        </w:rPr>
        <w:t>Source:</w:t>
      </w:r>
      <w:r>
        <w:rPr>
          <w:rFonts w:ascii="Times New Roman" w:hAnsi="Times New Roman"/>
          <w:sz w:val="24"/>
        </w:rPr>
        <w:t xml:space="preserve"> 42 SDR 51, effective October 13, 2015.</w:t>
      </w: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3A31B2">
        <w:rPr>
          <w:rFonts w:ascii="Times New Roman" w:hAnsi="Times New Roman"/>
          <w:b/>
          <w:sz w:val="24"/>
        </w:rPr>
        <w:t>General Authority:</w:t>
      </w:r>
      <w:r w:rsidRPr="004C3A7D">
        <w:rPr>
          <w:rFonts w:ascii="Times New Roman" w:hAnsi="Times New Roman"/>
          <w:sz w:val="24"/>
        </w:rPr>
        <w:t xml:space="preserve"> SDCL 34-12-13(1), (3), and (4).</w:t>
      </w: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3A31B2">
        <w:rPr>
          <w:rFonts w:ascii="Times New Roman" w:hAnsi="Times New Roman"/>
          <w:b/>
          <w:sz w:val="24"/>
        </w:rPr>
        <w:t>Law Implemented:</w:t>
      </w:r>
      <w:r w:rsidRPr="004C3A7D">
        <w:rPr>
          <w:rFonts w:ascii="Times New Roman" w:hAnsi="Times New Roman"/>
          <w:sz w:val="24"/>
        </w:rPr>
        <w:t xml:space="preserve"> SDCL 34-12-13(1), (3), and (4).</w:t>
      </w: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3A31B2">
        <w:rPr>
          <w:rFonts w:ascii="Times New Roman" w:hAnsi="Times New Roman"/>
          <w:b/>
          <w:sz w:val="24"/>
        </w:rPr>
        <w:t>Referenc</w:t>
      </w:r>
      <w:r w:rsidRPr="003A31B2">
        <w:rPr>
          <w:rFonts w:ascii="Times New Roman" w:hAnsi="Times New Roman"/>
          <w:sz w:val="24"/>
        </w:rPr>
        <w:t>e:</w:t>
      </w:r>
      <w:r w:rsidRPr="003A31B2">
        <w:rPr>
          <w:rFonts w:ascii="Times New Roman" w:hAnsi="Times New Roman"/>
          <w:b/>
          <w:sz w:val="24"/>
        </w:rPr>
        <w:t xml:space="preserve"> ASHRAE 52.(2)</w:t>
      </w:r>
      <w:r w:rsidRPr="004C3A7D">
        <w:rPr>
          <w:rFonts w:ascii="Times New Roman" w:hAnsi="Times New Roman"/>
          <w:sz w:val="24"/>
        </w:rPr>
        <w:t>, 2007 edition, American Society of Heating, Refrigeration, and Air Conditioning Engineers. Copies may be obtained from 1791 Tullie Circle, N.E., Atlanta, GA 30329. Phone: 1-800-527-4723. Cost: $39.</w:t>
      </w:r>
    </w:p>
    <w:p w:rsidR="00813307" w:rsidRPr="004C3A7D" w:rsidRDefault="00813307" w:rsidP="009126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813307" w:rsidRPr="004C3A7D" w:rsidSect="0081330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126D3"/>
    <w:rsid w:val="003A31B2"/>
    <w:rsid w:val="004C3A7D"/>
    <w:rsid w:val="00813307"/>
    <w:rsid w:val="009126D3"/>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26D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462</Words>
  <Characters>2640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2015-10-13T17:51:00Z</dcterms:created>
  <dcterms:modified xsi:type="dcterms:W3CDTF">2015-10-13T17:53:00Z</dcterms:modified>
</cp:coreProperties>
</file>