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szCs w:val="24"/>
        </w:rPr>
      </w:pPr>
      <w:bookmarkStart w:id="0" w:name="_GoBack"/>
      <w:bookmarkEnd w:id="0"/>
      <w:r>
        <w:rPr>
          <w:sz w:val="24"/>
          <w:szCs w:val="24"/>
        </w:rPr>
        <w:tab/>
      </w:r>
      <w:r>
        <w:rPr>
          <w:b w:val="1"/>
          <w:sz w:val="24"/>
          <w:szCs w:val="24"/>
        </w:rPr>
        <w:t>74:04:13:04.  Reporting requirements.</w:t>
      </w:r>
      <w:r>
        <w:rPr>
          <w:sz w:val="24"/>
          <w:szCs w:val="24"/>
        </w:rPr>
        <w:t xml:space="preserve"> Bottled water facilities will follow compliance procedures and maintain records as per Title 21 C.F.R. Part 129.3 (g) and (h). If the bottled drinking water does not meet the quality standard as established in Title 21 C.F.R. Subpart B Section 165.110 (b) the Department of </w:t>
      </w:r>
      <w:r>
        <w:rPr>
          <w:sz w:val="24"/>
          <w:szCs w:val="24"/>
          <w:lang w:val="en-US" w:bidi="en-US" w:eastAsia="en-US"/>
        </w:rPr>
        <w:t>Agriculture</w:t>
      </w:r>
      <w:r>
        <w:rPr>
          <w:sz w:val="24"/>
          <w:szCs w:val="24"/>
        </w:rPr>
        <w:t xml:space="preserve"> and Natural Resources will be notified by the bottler within 24 hours of receiving the laboratory results.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szCs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szCs w:val="24"/>
        </w:rPr>
      </w:pPr>
      <w:r>
        <w:rPr>
          <w:sz w:val="24"/>
          <w:szCs w:val="24"/>
        </w:rPr>
        <w:tab/>
      </w:r>
      <w:r>
        <w:rPr>
          <w:b w:val="1"/>
          <w:sz w:val="24"/>
          <w:szCs w:val="24"/>
        </w:rPr>
        <w:t>Source:</w:t>
      </w:r>
      <w:r>
        <w:rPr>
          <w:sz w:val="24"/>
          <w:szCs w:val="24"/>
        </w:rPr>
        <w:t xml:space="preserve"> 42 SDR 97, effective January 4, 2016</w:t>
      </w:r>
      <w:r>
        <w:rPr>
          <w:rFonts w:ascii="Times New Roman" w:hAnsi="Times New Roman"/>
          <w:sz w:val="24"/>
        </w:rPr>
        <w:t>; SL 2021, ch 1, §§ 8, 19, effective April 19, 2021</w:t>
      </w:r>
      <w:r>
        <w:rPr>
          <w:sz w:val="24"/>
          <w:szCs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szCs w:val="24"/>
        </w:rPr>
      </w:pPr>
      <w:r>
        <w:rPr>
          <w:sz w:val="24"/>
          <w:szCs w:val="24"/>
        </w:rPr>
        <w:tab/>
      </w:r>
      <w:r>
        <w:rPr>
          <w:b w:val="1"/>
          <w:sz w:val="24"/>
          <w:szCs w:val="24"/>
        </w:rPr>
        <w:t>General Authority:</w:t>
      </w:r>
      <w:r>
        <w:rPr>
          <w:sz w:val="24"/>
          <w:szCs w:val="24"/>
        </w:rPr>
        <w:t xml:space="preserve"> SDCL 39-1-4, 39-1-5.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szCs w:val="24"/>
        </w:rPr>
      </w:pPr>
      <w:r>
        <w:rPr>
          <w:sz w:val="24"/>
          <w:szCs w:val="24"/>
        </w:rPr>
        <w:tab/>
      </w:r>
      <w:r>
        <w:rPr>
          <w:b w:val="1"/>
          <w:sz w:val="24"/>
          <w:szCs w:val="24"/>
        </w:rPr>
        <w:t>Law Implemented:</w:t>
      </w:r>
      <w:r>
        <w:rPr>
          <w:sz w:val="24"/>
          <w:szCs w:val="24"/>
        </w:rPr>
        <w:t xml:space="preserve"> SDCL 39-1-4, 39-1-5.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sz w:val="24"/>
          <w:szCs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Purkapile, Rhonda</dc:creator>
  <dcterms:created xsi:type="dcterms:W3CDTF">2015-12-21T17:33:00Z</dcterms:created>
  <cp:lastModifiedBy>Rhonda Purkapile</cp:lastModifiedBy>
  <dcterms:modified xsi:type="dcterms:W3CDTF">2021-03-23T19:37:00Z</dcterms:modified>
  <cp:revision>3</cp:revision>
</cp:coreProperties>
</file>