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A8D36A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Immunization requirements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Any full time or part time student entering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kindergarten in South Dakota shall present certification that the student has received the following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immunizations: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Four or more doses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DTaP vaccine, with at least one dose administered on or after age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four. A child seven years and older requiring the primary series only needs three doses.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first dose of the primary series shall be Tdap and the second and third doses shall be Td, with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at least six months between dose two and three. A child receiving six doses before age four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does not require any additional doses for school requirements;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Four or more doses of poliovirus vaccine, at least one dose on or after age four;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Two doses of MMR vaccine or the submission of serological evidence of immunity.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Minimum age for the first dose is twelve months with the second dose routinely administered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between ages of four and six. The second dose may be administered prior to age four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provided at least twenty-eight days have elapsed since the first dose;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Two doses of varicella vaccine. The minimum age for the first dose of varicella vaccine is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twelve months. History of disease is acceptable in lieu of vaccination with parent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guardian signature.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42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173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July 1,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28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7.1.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13-28-7.1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/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