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45C4C5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Documentation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medical exemption pursuant to SDCL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13-28-7.1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requires the signature of a physician licensed pursuant to SDCL chapter 36-4. The signature shall be 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South Dakota Department of Health - Certificate of Immunization form.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A religious exemption pursuant to SDCL 13-28-7.1 requires the signature of the parent or guardian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 the South Dakota Department of Health - Certificate of Immunization form or a signed statement by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parent or guardian stating that child is adherent to a religious doctrine whose teachings are opposed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immunization.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The school or early childhood program is required to collect the exemption documents and submit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the department no later than November 1 of the current school year or within 45 days of transfe</w:t>
      </w:r>
      <w:r>
        <w:rPr>
          <w:rFonts w:ascii="Times New Roman" w:hAnsi="Times New Roman"/>
          <w:sz w:val="24"/>
          <w:lang w:val="en-US" w:bidi="en-US" w:eastAsia="en-US"/>
        </w:rPr>
        <w:t>rri</w:t>
      </w:r>
      <w:r>
        <w:rPr>
          <w:rFonts w:ascii="Times New Roman" w:hAnsi="Times New Roman"/>
          <w:sz w:val="24"/>
        </w:rPr>
        <w:t>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into the school district.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173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July 1,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13-28-7.1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