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A54CFF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Prize payment and validation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holder of a winning EZ Match play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may cash the ticket on which it is printed at any South Dakota Lottery retail location either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before or after the associated on-line game drawing. If a winning EZ Match play is cashed prior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the associated on-line game drawing, an exchange ticket shall be printed for the on-line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game's upcoming drawing. If an on-line game ticket is a winning ticket for both an EZ Match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play and the associated on-line game play and the ticket is presented for cashing for both plays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after the associated on-line game's drawing has occurred the prize amounts for each win shall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added together and paid in one lump sum.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Prizes may be paid only on valid tickets which satisfy all the requirements in chapter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48:03:03 and other confidential validation and security checks of the lottery. EZ Match prizes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must be claimed within 180 days after the on-line game draw date associated with the ticket 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which the EZ Match play was originally purchased. If the final day of the 180-day period falls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on a Saturday, Sunday, or state holiday, the claim period ends on the next business day.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3,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21(</w:t>
      </w:r>
      <w:r>
        <w:rPr>
          <w:rFonts w:ascii="Times New Roman" w:hAnsi="Times New Roman"/>
          <w:sz w:val="24"/>
          <w:lang w:val="en-US" w:bidi="en-US" w:eastAsia="en-US"/>
        </w:rPr>
        <w:t>2)(3)(9), 42-7A-23.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42-7A-21(2)(3)(9)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