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1ED7DB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Requirement to submit educational structure data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finalized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educational structure data for each school district is due by March first for the next school year.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school district shall report the following information: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New schools;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Closed schools;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Grade span changes.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August 4,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51, 13-13-37.4.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13-3-51,</w:t>
      </w:r>
      <w:r>
        <w:rPr>
          <w:rFonts w:ascii="Times New Roman" w:hAnsi="Times New Roman"/>
          <w:sz w:val="24"/>
          <w:lang w:val="en-US" w:bidi="en-US" w:eastAsia="en-US"/>
        </w:rPr>
        <w:t xml:space="preserve"> 13-13-10.1,</w:t>
      </w:r>
      <w:r>
        <w:rPr>
          <w:rFonts w:ascii="Times New Roman" w:hAnsi="Times New Roman"/>
          <w:sz w:val="24"/>
        </w:rPr>
        <w:t xml:space="preserve"> 13-13-37.4</w:t>
      </w:r>
      <w:r>
        <w:rPr>
          <w:rFonts w:ascii="Times New Roman" w:hAnsi="Times New Roman"/>
          <w:sz w:val="24"/>
        </w:rPr>
        <w:t>.</w:t>
      </w: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