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8EE580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Distribution of funds.</w:t>
      </w:r>
      <w:r>
        <w:rPr>
          <w:rFonts w:ascii="Times New Roman" w:hAnsi="Times New Roman"/>
          <w:sz w:val="24"/>
        </w:rPr>
        <w:t xml:space="preserve"> A grant shall be paid on a reimbursement basis following the procedures and requirements outlined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2016; 43 SDR 131, effective April 1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  <w:lang w:val="en-US" w:bidi="en-US" w:eastAsia="en-US"/>
        </w:rPr>
        <w:t>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13-6-97, 13-15-1.1, </w:t>
      </w:r>
      <w:r>
        <w:rPr>
          <w:rFonts w:ascii="Times New Roman" w:hAnsi="Times New Roman"/>
          <w:sz w:val="24"/>
        </w:rPr>
        <w:t>13-15-1.4.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