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Contents of application.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</w:t>
      </w:r>
      <w:r>
        <w:rPr>
          <w:rFonts w:ascii="Times New Roman" w:hAnsi="Times New Roman"/>
          <w:sz w:val="24"/>
          <w:lang w:val="en-US" w:bidi="en-US" w:eastAsia="en-US"/>
        </w:rPr>
        <w:t>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57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October 20, 2016</w:t>
      </w:r>
      <w:r>
        <w:rPr>
          <w:rFonts w:ascii="Times New Roman" w:hAnsi="Times New Roman"/>
          <w:sz w:val="24"/>
        </w:rPr>
        <w:t>; SL 2018, ch 229, § 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</w:rPr>
        <w:t>, effective July 1, 2018</w:t>
      </w:r>
      <w:r>
        <w:rPr>
          <w:rFonts w:ascii="Times New Roman" w:hAnsi="Times New Roman"/>
          <w:sz w:val="24"/>
          <w:lang w:val="en-US" w:bidi="en-US" w:eastAsia="en-US"/>
        </w:rPr>
        <w:t>; 48 SDR 108, effective May 4, 2022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2022-04-22T15:05:15Z</dcterms:created>
  <cp:lastModifiedBy>Kelly Thompson</cp:lastModifiedBy>
  <dcterms:modified xsi:type="dcterms:W3CDTF">2022-04-22T15:08:23Z</dcterms:modified>
  <cp:revision>2</cp:revision>
</cp:coreProperties>
</file>