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43954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1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Procedures for sending information to licensing agencies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center shall send information electronically to the licensing agency as notification that 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applicant, registrant, or licensee has a debt assigned to the center for collection. Upon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receipt of the information from the center, the licensing agency shall initiate its existing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rules and procedures to prevent the applicant, registrant, or licensee from obtaining,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renewing or maintaining any motor vehicle, motorcycle, or boat registration, driver</w:t>
      </w:r>
      <w:r>
        <w:rPr>
          <w:rFonts w:ascii="Times New Roman" w:hAnsi="Times New Roman"/>
          <w:sz w:val="24"/>
          <w:lang w:val="en-US" w:bidi="en-US" w:eastAsia="en-US"/>
        </w:rPr>
        <w:t xml:space="preserve"> license, hunting license, fishing license, state park permit, or camping permit as required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by SDCL 1-55-11 and 1-55-12.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79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1-55-15(8)(9)(10).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1-55-12, 1-55-15(8)(9)(10)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