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7F2358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Services not covered.</w:t>
      </w:r>
      <w:r>
        <w:rPr>
          <w:rFonts w:ascii="Times New Roman" w:hAnsi="Times New Roman"/>
          <w:sz w:val="24"/>
        </w:rPr>
        <w:t xml:space="preserve"> The following services are not covered under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provisions of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Treatment for a diagnosis of substance use disorder that exceeds the limits established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by the division, unless prior authorization is approved by the division;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Out-of-state substance use disorder treatment unless the division determines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appropriate in-state treatment is not available;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Treatment for a gambling disorder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Room and board for residential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Substance use disorder treatment before the integrated assessment is completed;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Substance use disorder treatment after 30 days if the treatment plan has not been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completed;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Substance use disorder treatment if a required review has not been completed;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Court appearances, staffing sessions, or treatment team appearances;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Substance use disorder services provided to a recipient incarcerated in a correctional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facility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; 44 SDR 192, effective July 2,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(1)(4)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  <w:lang w:val="en-US" w:bidi="en-US" w:eastAsia="en-US"/>
        </w:rPr>
        <w:t>(1)(4)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