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36967F67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67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16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48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04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Services requiring prior authorization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following services require prior authorization: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Medically-monitored intensive inpatient programs;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Clinically-managed low intensity residential treatment programs for pregnant women or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women with dependent children;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Intensive methamphetamine services;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(4)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Psychiatric residential treatment programs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43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80</w:t>
      </w:r>
      <w:r>
        <w:rPr>
          <w:rFonts w:ascii="Times New Roman" w:hAnsi="Times New Roman"/>
          <w:sz w:val="24"/>
        </w:rPr>
        <w:t xml:space="preserve">, effective </w:t>
      </w:r>
      <w:bookmarkStart w:id="0" w:name="_GoBack"/>
      <w:bookmarkEnd w:id="0"/>
      <w:r>
        <w:rPr>
          <w:rFonts w:ascii="Times New Roman" w:hAnsi="Times New Roman"/>
          <w:sz w:val="24"/>
          <w:lang w:val="en-US" w:bidi="en-US" w:eastAsia="en-US"/>
        </w:rPr>
        <w:t>December 5, 2016</w:t>
      </w:r>
      <w:r>
        <w:rPr>
          <w:rFonts w:ascii="Times New Roman" w:hAnsi="Times New Roman"/>
          <w:sz w:val="24"/>
        </w:rPr>
        <w:t>; 44 SDR 192, effective July 2, 2018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28-6-1</w:t>
      </w:r>
      <w:r>
        <w:rPr>
          <w:rFonts w:ascii="Times New Roman" w:hAnsi="Times New Roman"/>
          <w:sz w:val="24"/>
          <w:lang w:val="en-US" w:bidi="en-US" w:eastAsia="en-US"/>
        </w:rPr>
        <w:t>(1)(2)(4)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28-6-1</w:t>
      </w:r>
      <w:r>
        <w:rPr>
          <w:rFonts w:ascii="Times New Roman" w:hAnsi="Times New Roman"/>
          <w:sz w:val="24"/>
          <w:lang w:val="en-US" w:bidi="en-US" w:eastAsia="en-US"/>
        </w:rPr>
        <w:t>(1)(2)(4)</w:t>
      </w:r>
      <w:r>
        <w:rPr>
          <w:rFonts w:ascii="Times New Roman" w:hAnsi="Times New Roman"/>
          <w:sz w:val="24"/>
        </w:rPr>
        <w:t>.</w:t>
      </w:r>
    </w:p>
    <w:p>
      <w:pPr>
        <w:rPr>
          <w:rFonts w:ascii="Times New Roman" w:hAnsi="Times New Roman"/>
          <w:sz w:val="24"/>
        </w:rPr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