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DA5DDC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Prior authorization for psychiatric residential treatment programs for substance use disorders.</w:t>
      </w:r>
      <w:r>
        <w:rPr>
          <w:rFonts w:ascii="Times New Roman" w:hAnsi="Times New Roman"/>
          <w:sz w:val="24"/>
        </w:rPr>
        <w:t xml:space="preserve"> The requirements for prior authorization of a psychiatric residential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treatment program for a substance use disorder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addiction counselor completes an integrated assessment, the assessment indicates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diagnosis of a substance use disorder, and the addiction counselor determines the adolescent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meets the criteria for placement in, transfer to, or continued stay in a substance use disorder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treatment program;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physician</w:t>
      </w:r>
      <w:r>
        <w:rPr>
          <w:rFonts w:ascii="Times New Roman" w:hAnsi="Times New Roman"/>
          <w:sz w:val="24"/>
          <w:lang w:val="en-US" w:bidi="en-US" w:eastAsia="en-US"/>
        </w:rPr>
        <w:t xml:space="preserve"> or other licensed practitioner</w:t>
      </w:r>
      <w:r>
        <w:rPr>
          <w:rFonts w:ascii="Times New Roman" w:hAnsi="Times New Roman"/>
          <w:sz w:val="24"/>
        </w:rPr>
        <w:t xml:space="preserve"> refers the adolescent for placement in, transfer to, or continued stay in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substance use disorder treatment program;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division authorizes the treatment;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certification team, based on medical documentation, determines the treatment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medically necessary and meets the requirements listed in 42 C</w:t>
      </w:r>
      <w:r>
        <w:rPr>
          <w:rFonts w:ascii="Times New Roman" w:hAnsi="Times New Roman"/>
          <w:sz w:val="24"/>
          <w:lang w:val="en-US" w:bidi="en-US" w:eastAsia="en-US"/>
        </w:rPr>
        <w:t>F</w:t>
      </w:r>
      <w:r>
        <w:rPr>
          <w:rFonts w:ascii="Times New Roman" w:hAnsi="Times New Roman"/>
          <w:sz w:val="24"/>
        </w:rPr>
        <w:t>R 441.152, as amended to July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1,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201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. The certification team shall notify the division of their determination that medical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necessity has been met or if the adolescent does not meet the severity of illness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; 44 SDR 94, effective December 4,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28-6-1</w:t>
      </w:r>
      <w:r>
        <w:rPr>
          <w:rFonts w:ascii="Times New Roman" w:hAnsi="Times New Roman"/>
          <w:sz w:val="24"/>
          <w:lang w:val="en-US" w:bidi="en-US" w:eastAsia="en-US"/>
        </w:rPr>
        <w:t>(1)(2)(4)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28-6-1</w:t>
      </w:r>
      <w:r>
        <w:rPr>
          <w:rFonts w:ascii="Times New Roman" w:hAnsi="Times New Roman"/>
          <w:sz w:val="24"/>
          <w:lang w:val="en-US" w:bidi="en-US" w:eastAsia="en-US"/>
        </w:rPr>
        <w:t>(1)(2)(4)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Treatment for</w:t>
      </w:r>
      <w:r>
        <w:rPr>
          <w:rFonts w:ascii="Times New Roman" w:hAnsi="Times New Roman"/>
          <w:sz w:val="24"/>
          <w:lang w:val="en-US" w:bidi="en-US" w:eastAsia="en-US"/>
        </w:rPr>
        <w:t xml:space="preserve"> an</w:t>
      </w:r>
      <w:r>
        <w:rPr>
          <w:rFonts w:ascii="Times New Roman" w:hAnsi="Times New Roman"/>
          <w:sz w:val="24"/>
        </w:rPr>
        <w:t xml:space="preserve"> adolescent</w:t>
      </w:r>
      <w:r>
        <w:rPr>
          <w:rFonts w:ascii="Times New Roman" w:hAnsi="Times New Roman"/>
          <w:sz w:val="24"/>
        </w:rPr>
        <w:t xml:space="preserve"> with a substance use disorder -- Out-of-state,</w:t>
      </w:r>
      <w:r>
        <w:rPr>
          <w:rFonts w:ascii="Times New Roman" w:hAnsi="Times New Roman"/>
          <w:sz w:val="24"/>
          <w:lang w:val="en-US" w:bidi="en-US" w:eastAsia="en-US"/>
        </w:rPr>
        <w:t xml:space="preserve"> § </w:t>
      </w:r>
      <w:r>
        <w:rPr>
          <w:rFonts w:ascii="Times New Roman" w:hAnsi="Times New Roman"/>
          <w:sz w:val="24"/>
        </w:rPr>
        <w:t>67:16:48:08.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