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Nonreimbursable services.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The following are </w:t>
      </w:r>
      <w:r>
        <w:rPr>
          <w:rFonts w:ascii="Times New Roman" w:hAnsi="Times New Roman"/>
          <w:sz w:val="24"/>
          <w:lang w:val="en-US" w:bidi="en-US" w:eastAsia="en-US"/>
        </w:rPr>
        <w:t>n</w:t>
      </w:r>
      <w:r>
        <w:rPr>
          <w:rFonts w:ascii="Times New Roman" w:hAnsi="Times New Roman"/>
          <w:sz w:val="24"/>
        </w:rPr>
        <w:t xml:space="preserve">onreimbursable </w:t>
      </w:r>
      <w:r>
        <w:rPr>
          <w:rFonts w:ascii="Times New Roman" w:hAnsi="Times New Roman"/>
          <w:sz w:val="24"/>
          <w:lang w:val="en-US" w:bidi="en-US" w:eastAsia="en-US"/>
        </w:rPr>
        <w:t>under this chapter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Services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</w:rPr>
        <w:t xml:space="preserve"> are solely recreational in nature;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Time spent preparing paperwork from client assessments or clinical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documentation;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Time spent traveling.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2023-11-25T16:37:17Z</dcterms:created>
  <cp:lastModifiedBy>Kelly Thompson</cp:lastModifiedBy>
  <dcterms:modified xsi:type="dcterms:W3CDTF">2023-11-25T16:38:51Z</dcterms:modified>
  <cp:revision>2</cp:revision>
</cp:coreProperties>
</file>