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61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14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03</w:t>
      </w:r>
      <w:r>
        <w:rPr>
          <w:rFonts w:ascii="Times New Roman" w:hAnsi="Times New Roman"/>
          <w:b w:val="1"/>
          <w:sz w:val="24"/>
        </w:rPr>
        <w:t>.  Intensity of services.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An intensive outpatient</w:t>
      </w:r>
      <w:r>
        <w:rPr>
          <w:rFonts w:ascii="Times New Roman" w:hAnsi="Times New Roman"/>
          <w:sz w:val="24"/>
        </w:rPr>
        <w:t xml:space="preserve"> program shall provide any combination of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individual, group, or family counseling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two or more times per week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to each client. Each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adult client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be provided with a minimum of nine hours of these services per week.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Each adolescent client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be provided with a minimum of </w:t>
      </w:r>
      <w:r>
        <w:rPr>
          <w:rFonts w:ascii="Times New Roman" w:hAnsi="Times New Roman"/>
          <w:sz w:val="24"/>
          <w:lang w:val="en-US" w:bidi="en-US" w:eastAsia="en-US"/>
        </w:rPr>
        <w:t>six</w:t>
      </w:r>
      <w:r>
        <w:rPr>
          <w:rFonts w:ascii="Times New Roman" w:hAnsi="Times New Roman"/>
          <w:sz w:val="24"/>
        </w:rPr>
        <w:t xml:space="preserve"> hours of these services per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week.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  <w:lang w:val="en-US" w:bidi="en-US" w:eastAsia="en-US"/>
        </w:rPr>
        <w:t>; 50 SDR 63, effective November 27,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1-36-25, </w:t>
      </w:r>
      <w:r>
        <w:rPr>
          <w:rFonts w:ascii="Times New Roman" w:hAnsi="Times New Roman"/>
          <w:sz w:val="24"/>
          <w:lang w:val="en-US" w:bidi="en-US" w:eastAsia="en-US"/>
        </w:rPr>
        <w:t>34-20A-27.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34-20A-27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2023-11-25T17:55:36Z</dcterms:created>
  <cp:lastModifiedBy>Kelly Thompson</cp:lastModifiedBy>
  <dcterms:modified xsi:type="dcterms:W3CDTF">2023-11-25T17:57:26Z</dcterms:modified>
  <cp:revision>2</cp:revision>
</cp:coreProperties>
</file>