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Intensity of services.</w:t>
      </w:r>
      <w:r>
        <w:rPr>
          <w:rFonts w:ascii="Times New Roman" w:hAnsi="Times New Roman"/>
          <w:sz w:val="24"/>
        </w:rPr>
        <w:t xml:space="preserve"> The day treatment program for adults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adolescents shall provide a minimum of 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  <w:lang w:val="en-US" w:bidi="en-US" w:eastAsia="en-US"/>
        </w:rPr>
        <w:t>ifteen</w:t>
      </w:r>
      <w:r>
        <w:rPr>
          <w:rFonts w:ascii="Times New Roman" w:hAnsi="Times New Roman"/>
          <w:sz w:val="24"/>
        </w:rPr>
        <w:t xml:space="preserve"> hours of any combination of individual,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group, or family counseling services per week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to each client. A day treatment program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adults shall provide a minimum of five hours of additional services per week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specialized topics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address the specific needs of the client. The additional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identified on the client's treatment plan or continued stay review. These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provided by an individual trained in the specific topic presented.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2023-11-25T19:37:05Z</dcterms:created>
  <cp:lastModifiedBy>Kelly Thompson</cp:lastModifiedBy>
  <dcterms:modified xsi:type="dcterms:W3CDTF">2023-11-25T19:39:02Z</dcterms:modified>
  <cp:revision>2</cp:revision>
</cp:coreProperties>
</file>