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A clinically-managed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low-intensity residential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treatment program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provide each client a minimum of five hours of any combination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individual, group, or family counseling each week.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2023-11-25T19:52:57Z</dcterms:created>
  <cp:lastModifiedBy>Kelly Thompson</cp:lastModifiedBy>
  <dcterms:modified xsi:type="dcterms:W3CDTF">2023-11-25T19:54:12Z</dcterms:modified>
  <cp:revision>2</cp:revision>
</cp:coreProperties>
</file>