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Agreement with hospital for emergency care.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</w:t>
      </w:r>
      <w:r>
        <w:rPr>
          <w:rFonts w:ascii="Times New Roman" w:hAnsi="Times New Roman"/>
          <w:sz w:val="24"/>
        </w:rPr>
        <w:t xml:space="preserve"> agency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have a written affiliation agreement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with a licensed hospital serving the area in which the </w:t>
      </w:r>
      <w:r>
        <w:rPr>
          <w:rFonts w:ascii="Times New Roman" w:hAnsi="Times New Roman"/>
          <w:sz w:val="24"/>
          <w:lang w:val="en-US" w:bidi="en-US" w:eastAsia="en-US"/>
        </w:rPr>
        <w:t xml:space="preserve">clinically-managed, residential detoxification </w:t>
      </w:r>
      <w:r>
        <w:rPr>
          <w:rFonts w:ascii="Times New Roman" w:hAnsi="Times New Roman"/>
          <w:sz w:val="24"/>
        </w:rPr>
        <w:t>program is located</w:t>
      </w:r>
      <w:r>
        <w:rPr>
          <w:rFonts w:ascii="Times New Roman" w:hAnsi="Times New Roman"/>
          <w:sz w:val="24"/>
          <w:lang w:val="en-US" w:bidi="en-US" w:eastAsia="en-US"/>
        </w:rPr>
        <w:t>, for the provision of emergency, inpatient, and ambulatory medical services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agreement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specify that the hospital consents to accept all transfers for prompt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medical evaluation. Documentation of the reason for the transfer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accompany 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transferred clients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as well as the documented history of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</w:rPr>
        <w:t>client's vital signs. Disclosure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information about clients to the hospital </w:t>
      </w:r>
      <w:r>
        <w:rPr>
          <w:rFonts w:ascii="Times New Roman" w:hAnsi="Times New Roman"/>
          <w:sz w:val="24"/>
          <w:lang w:val="en-US" w:bidi="en-US" w:eastAsia="en-US"/>
        </w:rPr>
        <w:t>must be in compliance</w:t>
      </w:r>
      <w:r>
        <w:rPr>
          <w:rFonts w:ascii="Times New Roman" w:hAnsi="Times New Roman"/>
          <w:sz w:val="24"/>
        </w:rPr>
        <w:t xml:space="preserve"> with the requirements of </w:t>
      </w:r>
      <w:r>
        <w:rPr>
          <w:rFonts w:ascii="Times New Roman" w:hAnsi="Times New Roman"/>
          <w:sz w:val="24"/>
        </w:rPr>
        <w:t>42 U.S.C.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290dd-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in </w:t>
      </w:r>
      <w:r>
        <w:rPr>
          <w:rFonts w:ascii="Times New Roman" w:hAnsi="Times New Roman"/>
          <w:sz w:val="24"/>
          <w:lang w:val="en-US" w:bidi="en-US" w:eastAsia="en-US"/>
        </w:rPr>
        <w:t>effect on March 27, 2020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42 C.F.R. Part 2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January 18, 2017;</w:t>
      </w:r>
      <w:r>
        <w:rPr>
          <w:rFonts w:ascii="Times New Roman" w:hAnsi="Times New Roman"/>
          <w:sz w:val="24"/>
        </w:rPr>
        <w:t xml:space="preserve"> and </w:t>
      </w:r>
      <w:r>
        <w:rPr>
          <w:rFonts w:ascii="Times New Roman" w:hAnsi="Times New Roman"/>
          <w:sz w:val="24"/>
        </w:rPr>
        <w:t>45 C.F.R. Part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160 and 164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in effect on S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  <w:lang w:val="en-US" w:bidi="en-US" w:eastAsia="en-US"/>
        </w:rPr>
        <w:t>ptember 26,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 xml:space="preserve">; 50 SDR 63, effective </w:t>
      </w:r>
      <w:r>
        <w:rPr>
          <w:rFonts w:ascii="Times New Roman" w:hAnsi="Times New Roman"/>
          <w:sz w:val="24"/>
          <w:lang w:val="en-US" w:bidi="en-US" w:eastAsia="en-US"/>
        </w:rPr>
        <w:t>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2023-11-25T20:47:00Z</dcterms:created>
  <cp:lastModifiedBy>Kelly Thompson</cp:lastModifiedBy>
  <dcterms:modified xsi:type="dcterms:W3CDTF">2023-11-25T20:53:16Z</dcterms:modified>
  <cp:revision>4</cp:revision>
</cp:coreProperties>
</file>